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F3654" w14:textId="77777777" w:rsidR="008D4CEA" w:rsidRPr="008D4CEA" w:rsidRDefault="008D4CEA" w:rsidP="008D4CEA">
      <w:pPr>
        <w:rPr>
          <w:rFonts w:eastAsia="Calibri"/>
          <w:b/>
          <w:sz w:val="22"/>
          <w:szCs w:val="22"/>
        </w:rPr>
      </w:pPr>
      <w:r w:rsidRPr="008D4CEA">
        <w:rPr>
          <w:sz w:val="22"/>
          <w:szCs w:val="22"/>
        </w:rPr>
        <w:fldChar w:fldCharType="begin"/>
      </w:r>
      <w:r w:rsidRPr="008D4CEA">
        <w:rPr>
          <w:sz w:val="22"/>
          <w:szCs w:val="22"/>
        </w:rPr>
        <w:instrText xml:space="preserve"> HYPERLINK "file:///C:\\Users\\Korisnik\\Desktop\\xp\\My%20Documents\\Downloads\\Ponuda%20zaštita%20Prača.doc" \l "_Toc147296195" </w:instrText>
      </w:r>
      <w:r w:rsidRPr="008D4CEA">
        <w:rPr>
          <w:sz w:val="22"/>
          <w:szCs w:val="22"/>
        </w:rPr>
        <w:fldChar w:fldCharType="separate"/>
      </w:r>
    </w:p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556"/>
        <w:gridCol w:w="1572"/>
        <w:gridCol w:w="4672"/>
      </w:tblGrid>
      <w:tr w:rsidR="008D4CEA" w:rsidRPr="008D4CEA" w14:paraId="20EEA64A" w14:textId="77777777" w:rsidTr="00BC35EB">
        <w:tc>
          <w:tcPr>
            <w:tcW w:w="2109" w:type="pct"/>
          </w:tcPr>
          <w:p w14:paraId="7AE2D00C" w14:textId="77777777" w:rsidR="008D4CEA" w:rsidRPr="008D4CEA" w:rsidRDefault="008D4CEA" w:rsidP="00BC35EB">
            <w:pPr>
              <w:jc w:val="right"/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Bosna i Hercegovina</w:t>
            </w:r>
          </w:p>
          <w:p w14:paraId="6A544BED" w14:textId="77777777" w:rsidR="008D4CEA" w:rsidRPr="008D4CEA" w:rsidRDefault="008D4CEA" w:rsidP="00BC35EB">
            <w:pPr>
              <w:jc w:val="right"/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Federacija Bosne i Hercegovine</w:t>
            </w:r>
          </w:p>
          <w:p w14:paraId="3EF1AEC5" w14:textId="77777777" w:rsidR="008D4CEA" w:rsidRPr="008D4CEA" w:rsidRDefault="008D4CEA" w:rsidP="00BC35EB">
            <w:pPr>
              <w:jc w:val="right"/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Bosansko-podrinjski kanton Goražde</w:t>
            </w:r>
          </w:p>
          <w:p w14:paraId="58CA9614" w14:textId="77777777" w:rsidR="008D4CEA" w:rsidRPr="008D4CEA" w:rsidRDefault="008D4CEA" w:rsidP="00BC35EB">
            <w:pPr>
              <w:jc w:val="right"/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Općina Pale</w:t>
            </w:r>
          </w:p>
          <w:p w14:paraId="6EEC6749" w14:textId="77777777" w:rsidR="008D4CEA" w:rsidRPr="008D4CEA" w:rsidRDefault="008D4CEA" w:rsidP="00BC35EB">
            <w:pPr>
              <w:jc w:val="right"/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7E435C8B" w14:textId="77777777" w:rsidR="008D4CEA" w:rsidRPr="008D4CEA" w:rsidRDefault="008D4CEA" w:rsidP="00BC35EB">
            <w:pPr>
              <w:jc w:val="center"/>
              <w:rPr>
                <w:b/>
                <w:sz w:val="22"/>
                <w:szCs w:val="22"/>
              </w:rPr>
            </w:pPr>
            <w:r w:rsidRPr="008D4CEA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766F9AE" wp14:editId="54855370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7942389A" w14:textId="77777777" w:rsidR="008D4CEA" w:rsidRPr="008D4CEA" w:rsidRDefault="008D4CEA" w:rsidP="00BC35EB">
            <w:pPr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Bosnia and Herzegovina</w:t>
            </w:r>
          </w:p>
          <w:p w14:paraId="7C8272BD" w14:textId="77777777" w:rsidR="008D4CEA" w:rsidRPr="008D4CEA" w:rsidRDefault="008D4CEA" w:rsidP="00BC35EB">
            <w:pPr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Federation of Bosnia and Herzegovina</w:t>
            </w:r>
          </w:p>
          <w:p w14:paraId="3378B42C" w14:textId="77777777" w:rsidR="008D4CEA" w:rsidRPr="008D4CEA" w:rsidRDefault="008D4CEA" w:rsidP="00BC35EB">
            <w:pPr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Bosnian-Podrinje Canton of Goražde</w:t>
            </w:r>
          </w:p>
          <w:p w14:paraId="38A4CB09" w14:textId="77777777" w:rsidR="008D4CEA" w:rsidRPr="008D4CEA" w:rsidRDefault="008D4CEA" w:rsidP="00BC35EB">
            <w:pPr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Municipality of Pale</w:t>
            </w:r>
          </w:p>
          <w:p w14:paraId="250DE3F3" w14:textId="77777777" w:rsidR="008D4CEA" w:rsidRPr="008D4CEA" w:rsidRDefault="008D4CEA" w:rsidP="00BC35EB">
            <w:pPr>
              <w:rPr>
                <w:b/>
                <w:sz w:val="22"/>
                <w:szCs w:val="22"/>
              </w:rPr>
            </w:pPr>
            <w:r w:rsidRPr="008D4CEA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7E6E2385" w14:textId="77777777" w:rsidR="008D4CEA" w:rsidRPr="008D4CEA" w:rsidRDefault="00441B1B" w:rsidP="008D4C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F43E631">
          <v:rect id="_x0000_i1025" style="width:0;height:1.5pt" o:hralign="center" o:hrstd="t" o:hr="t" fillcolor="#a0a0a0" stroked="f"/>
        </w:pict>
      </w:r>
    </w:p>
    <w:p w14:paraId="62559FD3" w14:textId="77777777" w:rsidR="008D4CEA" w:rsidRPr="008D4CEA" w:rsidRDefault="008D4CEA" w:rsidP="008D4CEA">
      <w:pPr>
        <w:rPr>
          <w:bCs/>
          <w:sz w:val="22"/>
          <w:szCs w:val="22"/>
        </w:rPr>
      </w:pPr>
    </w:p>
    <w:p w14:paraId="09E13AE5" w14:textId="28A2D55D" w:rsidR="008D4CEA" w:rsidRPr="008D4CEA" w:rsidRDefault="008D4CEA" w:rsidP="008D4CEA">
      <w:pPr>
        <w:rPr>
          <w:bCs/>
          <w:sz w:val="22"/>
          <w:szCs w:val="22"/>
        </w:rPr>
      </w:pPr>
      <w:r w:rsidRPr="008D4CEA">
        <w:rPr>
          <w:bCs/>
          <w:sz w:val="22"/>
          <w:szCs w:val="22"/>
        </w:rPr>
        <w:t>Broj:</w:t>
      </w:r>
      <w:r w:rsidRPr="008D4CEA">
        <w:rPr>
          <w:bCs/>
          <w:sz w:val="22"/>
          <w:szCs w:val="22"/>
        </w:rPr>
        <w:tab/>
        <w:t>02-04-</w:t>
      </w:r>
      <w:r w:rsidR="00441B1B">
        <w:rPr>
          <w:bCs/>
          <w:sz w:val="22"/>
          <w:szCs w:val="22"/>
        </w:rPr>
        <w:t>72/</w:t>
      </w:r>
      <w:r w:rsidRPr="008D4CEA">
        <w:rPr>
          <w:bCs/>
          <w:sz w:val="22"/>
          <w:szCs w:val="22"/>
        </w:rPr>
        <w:t xml:space="preserve">25 </w:t>
      </w:r>
    </w:p>
    <w:p w14:paraId="439967AB" w14:textId="400028FE" w:rsidR="00441B1B" w:rsidRPr="00441B1B" w:rsidRDefault="00441B1B" w:rsidP="00441B1B">
      <w:pPr>
        <w:rPr>
          <w:rFonts w:eastAsia="Calibri"/>
          <w:bCs/>
          <w:sz w:val="22"/>
          <w:szCs w:val="22"/>
        </w:rPr>
      </w:pPr>
      <w:r w:rsidRPr="00441B1B">
        <w:rPr>
          <w:rFonts w:eastAsia="Calibri"/>
          <w:bCs/>
          <w:sz w:val="22"/>
          <w:szCs w:val="22"/>
        </w:rPr>
        <w:t>Prača:</w:t>
      </w:r>
      <w:r w:rsidRPr="00441B1B">
        <w:rPr>
          <w:rFonts w:eastAsia="Calibri"/>
          <w:bCs/>
          <w:sz w:val="22"/>
          <w:szCs w:val="22"/>
        </w:rPr>
        <w:tab/>
        <w:t>08.04.2025. godine</w:t>
      </w:r>
    </w:p>
    <w:p w14:paraId="07511929" w14:textId="36A28E05" w:rsidR="00B12EE5" w:rsidRPr="008D4CEA" w:rsidRDefault="00B12EE5" w:rsidP="00B12EE5">
      <w:pPr>
        <w:jc w:val="center"/>
        <w:rPr>
          <w:rFonts w:eastAsia="Calibri"/>
          <w:b/>
          <w:sz w:val="22"/>
          <w:szCs w:val="22"/>
        </w:rPr>
      </w:pPr>
      <w:r w:rsidRPr="008D4CEA">
        <w:rPr>
          <w:rFonts w:eastAsia="Calibri"/>
          <w:b/>
          <w:sz w:val="22"/>
          <w:szCs w:val="22"/>
        </w:rPr>
        <w:t xml:space="preserve">  </w:t>
      </w:r>
      <w:r w:rsidRPr="008D4CEA">
        <w:rPr>
          <w:rFonts w:eastAsia="Calibri"/>
          <w:b/>
          <w:webHidden/>
          <w:sz w:val="22"/>
          <w:szCs w:val="22"/>
        </w:rPr>
        <w:tab/>
      </w:r>
      <w:r w:rsidR="008D4CEA" w:rsidRPr="008D4CEA">
        <w:rPr>
          <w:rFonts w:eastAsia="Calibri"/>
          <w:b/>
          <w:sz w:val="22"/>
          <w:szCs w:val="22"/>
        </w:rPr>
        <w:fldChar w:fldCharType="end"/>
      </w:r>
    </w:p>
    <w:p w14:paraId="0F7A99AE" w14:textId="77777777" w:rsidR="002A46CA" w:rsidRPr="008D4CEA" w:rsidRDefault="002A46CA" w:rsidP="002A46CA">
      <w:pPr>
        <w:rPr>
          <w:sz w:val="22"/>
          <w:szCs w:val="22"/>
          <w:lang w:val="hr-HR" w:eastAsia="en-US"/>
        </w:rPr>
      </w:pPr>
    </w:p>
    <w:p w14:paraId="0075C6AF" w14:textId="5F09DA17" w:rsidR="002A46CA" w:rsidRPr="008D4CEA" w:rsidRDefault="002A46CA" w:rsidP="002A46CA">
      <w:pPr>
        <w:rPr>
          <w:b/>
          <w:sz w:val="22"/>
          <w:szCs w:val="22"/>
          <w:lang w:val="hr-HR"/>
        </w:rPr>
      </w:pPr>
      <w:r w:rsidRPr="008D4CEA">
        <w:rPr>
          <w:sz w:val="22"/>
          <w:szCs w:val="22"/>
          <w:lang w:val="hr-HR" w:eastAsia="en-US"/>
        </w:rPr>
        <w:t xml:space="preserve">Na osnovu člana 33. stav 5. Zakona o vodama </w:t>
      </w:r>
      <w:r w:rsidR="00FF73BA" w:rsidRPr="008D4CEA">
        <w:rPr>
          <w:sz w:val="22"/>
          <w:szCs w:val="22"/>
          <w:lang w:val="hr-HR" w:eastAsia="en-US"/>
        </w:rPr>
        <w:t xml:space="preserve">Bosansko-podrinjskog kantona Goražde </w:t>
      </w:r>
      <w:r w:rsidRPr="008D4CEA">
        <w:rPr>
          <w:sz w:val="22"/>
          <w:szCs w:val="22"/>
          <w:lang w:val="hr-HR" w:eastAsia="en-US"/>
        </w:rPr>
        <w:t xml:space="preserve">(„Službene novine </w:t>
      </w:r>
      <w:bookmarkStart w:id="0" w:name="_Hlk191020573"/>
      <w:r w:rsidRPr="008D4CEA">
        <w:rPr>
          <w:sz w:val="22"/>
          <w:szCs w:val="22"/>
          <w:lang w:val="hr-HR" w:eastAsia="en-US"/>
        </w:rPr>
        <w:t>Bosansko-podrinjskog kantona Goražde</w:t>
      </w:r>
      <w:bookmarkEnd w:id="0"/>
      <w:r w:rsidRPr="008D4CEA">
        <w:rPr>
          <w:sz w:val="22"/>
          <w:szCs w:val="22"/>
          <w:lang w:val="hr-HR" w:eastAsia="en-US"/>
        </w:rPr>
        <w:t xml:space="preserve">“, br. 6/10), </w:t>
      </w:r>
      <w:r w:rsidRPr="008D4CEA">
        <w:rPr>
          <w:sz w:val="22"/>
          <w:szCs w:val="22"/>
          <w:lang w:val="hr-HR"/>
        </w:rPr>
        <w:t>člana 24. Statuta Općine Pale (“Službene novine Bosansko-podrinjskog kantona Goražde”, broj: 19/07, 11/08 i 6/13) i člana 78. Poslovnika Općinskog vijeća Općine Pale (“Službene novine Bosansko-podrinjskog kantona Goražde”, broj: 5/22), Općinsko vijeće  Pale na svojoj</w:t>
      </w:r>
      <w:r w:rsidRPr="008D4CEA">
        <w:rPr>
          <w:b/>
          <w:sz w:val="22"/>
          <w:szCs w:val="22"/>
          <w:lang w:val="hr-HR"/>
        </w:rPr>
        <w:t xml:space="preserve"> V </w:t>
      </w:r>
      <w:r w:rsidRPr="008D4CEA">
        <w:rPr>
          <w:sz w:val="22"/>
          <w:szCs w:val="22"/>
          <w:lang w:val="hr-HR"/>
        </w:rPr>
        <w:t xml:space="preserve">redovnoj sjednici održanoj dana </w:t>
      </w:r>
      <w:r w:rsidR="00441B1B" w:rsidRPr="00441B1B">
        <w:rPr>
          <w:b/>
          <w:sz w:val="22"/>
          <w:szCs w:val="22"/>
          <w:lang w:val="hr-HR"/>
        </w:rPr>
        <w:t>08.04.</w:t>
      </w:r>
      <w:r w:rsidRPr="008D4CEA">
        <w:rPr>
          <w:b/>
          <w:sz w:val="22"/>
          <w:szCs w:val="22"/>
          <w:lang w:val="hr-HR"/>
        </w:rPr>
        <w:t>2025.</w:t>
      </w:r>
      <w:r w:rsidRPr="008D4CEA">
        <w:rPr>
          <w:sz w:val="22"/>
          <w:szCs w:val="22"/>
          <w:lang w:val="hr-HR"/>
        </w:rPr>
        <w:t xml:space="preserve"> godine,  </w:t>
      </w:r>
      <w:r w:rsidRPr="008D4CEA">
        <w:rPr>
          <w:b/>
          <w:sz w:val="22"/>
          <w:szCs w:val="22"/>
          <w:lang w:val="hr-HR"/>
        </w:rPr>
        <w:t>d o n o s i</w:t>
      </w:r>
    </w:p>
    <w:p w14:paraId="3F3B3839" w14:textId="77777777" w:rsidR="00B12EE5" w:rsidRPr="008D4CEA" w:rsidRDefault="00B12EE5" w:rsidP="00B12EE5">
      <w:pPr>
        <w:spacing w:after="120" w:line="276" w:lineRule="auto"/>
        <w:rPr>
          <w:rFonts w:eastAsia="Calibri"/>
          <w:b/>
          <w:bCs/>
          <w:sz w:val="22"/>
          <w:szCs w:val="22"/>
          <w:lang w:eastAsia="en-US"/>
        </w:rPr>
      </w:pPr>
    </w:p>
    <w:p w14:paraId="5DE8CB15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8D4CEA">
        <w:rPr>
          <w:rFonts w:eastAsia="Calibri"/>
          <w:b/>
          <w:bCs/>
          <w:sz w:val="32"/>
          <w:szCs w:val="32"/>
          <w:lang w:eastAsia="en-US"/>
        </w:rPr>
        <w:t>O D L U K U</w:t>
      </w:r>
    </w:p>
    <w:p w14:paraId="46C3CAE8" w14:textId="221E1F07" w:rsidR="00B12EE5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O ZAŠTITI IZVORIŠTA VODE ZA PIĆE ZA NASELJE PRAČA SA IZVORIŠTA “</w:t>
      </w:r>
      <w:r w:rsidRPr="008D4CEA">
        <w:rPr>
          <w:rFonts w:eastAsia="Calibri"/>
          <w:b/>
          <w:bCs/>
          <w:sz w:val="22"/>
          <w:szCs w:val="22"/>
        </w:rPr>
        <w:t>KOMRANI</w:t>
      </w:r>
      <w:r w:rsidRPr="008D4CEA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789912E6" w14:textId="23770D13" w:rsidR="008D4CEA" w:rsidRDefault="008D4CEA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293D4DC6" w14:textId="77777777" w:rsidR="008D4CEA" w:rsidRPr="008D4CEA" w:rsidRDefault="008D4CEA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604BFDCC" w14:textId="448BA1A4" w:rsidR="00B12EE5" w:rsidRPr="008D4CEA" w:rsidRDefault="00B12EE5" w:rsidP="002A46CA">
      <w:pPr>
        <w:pStyle w:val="ListParagraph"/>
        <w:numPr>
          <w:ilvl w:val="0"/>
          <w:numId w:val="8"/>
        </w:numPr>
        <w:spacing w:after="120" w:line="276" w:lineRule="auto"/>
        <w:jc w:val="left"/>
        <w:rPr>
          <w:rFonts w:eastAsia="Calibri"/>
          <w:b/>
          <w:sz w:val="22"/>
          <w:szCs w:val="22"/>
          <w:lang w:eastAsia="en-US"/>
        </w:rPr>
      </w:pPr>
      <w:r w:rsidRPr="008D4CEA">
        <w:rPr>
          <w:rFonts w:eastAsia="Calibri"/>
          <w:b/>
          <w:sz w:val="22"/>
          <w:szCs w:val="22"/>
          <w:lang w:eastAsia="en-US"/>
        </w:rPr>
        <w:t xml:space="preserve"> OPĆE ODREDBE</w:t>
      </w:r>
    </w:p>
    <w:p w14:paraId="5E545AF1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1.</w:t>
      </w:r>
    </w:p>
    <w:p w14:paraId="6531B59A" w14:textId="0203D908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  <w:r w:rsidRPr="008D4CEA">
        <w:rPr>
          <w:sz w:val="22"/>
          <w:szCs w:val="22"/>
        </w:rPr>
        <w:t xml:space="preserve">Ovom </w:t>
      </w:r>
      <w:r w:rsidR="00FA2CA4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>dlukom utvrđuju se zone sanitarne zaštite izvorišta vode za piće</w:t>
      </w:r>
      <w:r w:rsidR="00452E69" w:rsidRPr="008D4CEA">
        <w:rPr>
          <w:sz w:val="22"/>
          <w:szCs w:val="22"/>
        </w:rPr>
        <w:t xml:space="preserve"> </w:t>
      </w:r>
      <w:r w:rsidRPr="008D4CEA">
        <w:rPr>
          <w:sz w:val="22"/>
          <w:szCs w:val="22"/>
        </w:rPr>
        <w:t xml:space="preserve"> “Komrani” (u daljem tekstu: </w:t>
      </w:r>
      <w:r w:rsidR="002A46CA" w:rsidRPr="008D4CEA">
        <w:rPr>
          <w:sz w:val="22"/>
          <w:szCs w:val="22"/>
        </w:rPr>
        <w:t>I</w:t>
      </w:r>
      <w:r w:rsidRPr="008D4CEA">
        <w:rPr>
          <w:sz w:val="22"/>
          <w:szCs w:val="22"/>
        </w:rPr>
        <w:t xml:space="preserve">zvorište), sa kojeg se vrši snabdijevanje vodom za piće potrošača na dijelu </w:t>
      </w:r>
      <w:r w:rsidR="002A46CA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>pćine Pale, tj. MZ Prača i gravitirajuć</w:t>
      </w:r>
      <w:r w:rsidR="002A46CA" w:rsidRPr="008D4CEA">
        <w:rPr>
          <w:sz w:val="22"/>
          <w:szCs w:val="22"/>
        </w:rPr>
        <w:t>ih</w:t>
      </w:r>
      <w:r w:rsidRPr="008D4CEA">
        <w:rPr>
          <w:sz w:val="22"/>
          <w:szCs w:val="22"/>
        </w:rPr>
        <w:t xml:space="preserve"> naselja, veličina i granice zona sanitarne zaštite, mjere i režimi zaštite, nadzor nad sprovođenjem ove odluke, kaznene odredbe i druga pitanja od interesa za sprovođenje sanitarne zaštite izvorišta.</w:t>
      </w:r>
    </w:p>
    <w:p w14:paraId="3F10BDEC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2.</w:t>
      </w:r>
    </w:p>
    <w:p w14:paraId="0052CC92" w14:textId="0B507164" w:rsidR="00B12EE5" w:rsidRPr="008D4CEA" w:rsidRDefault="00B12EE5" w:rsidP="00B12EE5">
      <w:pPr>
        <w:spacing w:after="120" w:line="276" w:lineRule="auto"/>
        <w:rPr>
          <w:sz w:val="22"/>
          <w:szCs w:val="22"/>
          <w:lang w:eastAsia="en-US"/>
        </w:rPr>
      </w:pPr>
      <w:proofErr w:type="spellStart"/>
      <w:r w:rsidRPr="008D4CEA">
        <w:rPr>
          <w:sz w:val="22"/>
          <w:szCs w:val="22"/>
          <w:lang w:val="en-US" w:eastAsia="en-US"/>
        </w:rPr>
        <w:t>Izvori</w:t>
      </w:r>
      <w:proofErr w:type="spellEnd"/>
      <w:r w:rsidRPr="008D4CEA">
        <w:rPr>
          <w:sz w:val="22"/>
          <w:szCs w:val="22"/>
          <w:lang w:eastAsia="en-US"/>
        </w:rPr>
        <w:t>š</w:t>
      </w:r>
      <w:proofErr w:type="spellStart"/>
      <w:r w:rsidRPr="008D4CEA">
        <w:rPr>
          <w:sz w:val="22"/>
          <w:szCs w:val="22"/>
          <w:lang w:val="en-US" w:eastAsia="en-US"/>
        </w:rPr>
        <w:t>te</w:t>
      </w:r>
      <w:proofErr w:type="spellEnd"/>
      <w:r w:rsidRPr="008D4CEA">
        <w:rPr>
          <w:sz w:val="22"/>
          <w:szCs w:val="22"/>
          <w:lang w:eastAsia="en-US"/>
        </w:rPr>
        <w:t xml:space="preserve"> “</w:t>
      </w:r>
      <w:r w:rsidRPr="008D4CEA">
        <w:rPr>
          <w:sz w:val="22"/>
          <w:szCs w:val="22"/>
          <w:lang w:val="en-US" w:eastAsia="en-US"/>
        </w:rPr>
        <w:t>Komrani</w:t>
      </w:r>
      <w:r w:rsidRPr="008D4CEA">
        <w:rPr>
          <w:sz w:val="22"/>
          <w:szCs w:val="22"/>
          <w:lang w:eastAsia="en-US"/>
        </w:rPr>
        <w:t xml:space="preserve">” </w:t>
      </w:r>
      <w:proofErr w:type="spellStart"/>
      <w:r w:rsidRPr="008D4CEA">
        <w:rPr>
          <w:sz w:val="22"/>
          <w:szCs w:val="22"/>
          <w:lang w:val="en-US" w:eastAsia="en-US"/>
        </w:rPr>
        <w:t>locirano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je</w:t>
      </w:r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jugo</w:t>
      </w:r>
      <w:r w:rsidRPr="008D4CEA">
        <w:rPr>
          <w:sz w:val="22"/>
          <w:szCs w:val="22"/>
          <w:lang w:eastAsia="en-US"/>
        </w:rPr>
        <w:t>-</w:t>
      </w:r>
      <w:proofErr w:type="spellStart"/>
      <w:r w:rsidRPr="008D4CEA">
        <w:rPr>
          <w:sz w:val="22"/>
          <w:szCs w:val="22"/>
          <w:lang w:val="en-US" w:eastAsia="en-US"/>
        </w:rPr>
        <w:t>isto</w:t>
      </w:r>
      <w:proofErr w:type="spellEnd"/>
      <w:r w:rsidRPr="008D4CEA">
        <w:rPr>
          <w:sz w:val="22"/>
          <w:szCs w:val="22"/>
          <w:lang w:eastAsia="en-US"/>
        </w:rPr>
        <w:t>č</w:t>
      </w:r>
      <w:r w:rsidRPr="008D4CEA">
        <w:rPr>
          <w:sz w:val="22"/>
          <w:szCs w:val="22"/>
          <w:lang w:val="en-US" w:eastAsia="en-US"/>
        </w:rPr>
        <w:t>no</w:t>
      </w:r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od</w:t>
      </w:r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centra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naselja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Pra</w:t>
      </w:r>
      <w:proofErr w:type="spellEnd"/>
      <w:r w:rsidRPr="008D4CEA">
        <w:rPr>
          <w:sz w:val="22"/>
          <w:szCs w:val="22"/>
          <w:lang w:eastAsia="en-US"/>
        </w:rPr>
        <w:t>č</w:t>
      </w:r>
      <w:r w:rsidRPr="008D4CEA">
        <w:rPr>
          <w:sz w:val="22"/>
          <w:szCs w:val="22"/>
          <w:lang w:val="en-US" w:eastAsia="en-US"/>
        </w:rPr>
        <w:t>a</w:t>
      </w:r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u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neposrednoj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proofErr w:type="gramStart"/>
      <w:r w:rsidRPr="008D4CEA">
        <w:rPr>
          <w:sz w:val="22"/>
          <w:szCs w:val="22"/>
          <w:lang w:val="en-US" w:eastAsia="en-US"/>
        </w:rPr>
        <w:t>blizini</w:t>
      </w:r>
      <w:proofErr w:type="spellEnd"/>
      <w:r w:rsidRPr="008D4CEA">
        <w:rPr>
          <w:sz w:val="22"/>
          <w:szCs w:val="22"/>
          <w:lang w:eastAsia="en-US"/>
        </w:rPr>
        <w:t xml:space="preserve">  </w:t>
      </w:r>
      <w:proofErr w:type="spellStart"/>
      <w:r w:rsidR="002A46CA" w:rsidRPr="008D4CEA">
        <w:rPr>
          <w:sz w:val="22"/>
          <w:szCs w:val="22"/>
          <w:lang w:val="en-US" w:eastAsia="en-US"/>
        </w:rPr>
        <w:t>naseljenog</w:t>
      </w:r>
      <w:proofErr w:type="spellEnd"/>
      <w:proofErr w:type="gramEnd"/>
      <w:r w:rsidR="002A46CA" w:rsidRPr="008D4CEA">
        <w:rPr>
          <w:sz w:val="22"/>
          <w:szCs w:val="22"/>
          <w:lang w:val="en-US" w:eastAsia="en-US"/>
        </w:rPr>
        <w:t xml:space="preserve"> </w:t>
      </w:r>
      <w:proofErr w:type="spellStart"/>
      <w:r w:rsidR="002A46CA" w:rsidRPr="008D4CEA">
        <w:rPr>
          <w:sz w:val="22"/>
          <w:szCs w:val="22"/>
          <w:lang w:val="en-US" w:eastAsia="en-US"/>
        </w:rPr>
        <w:t>mjesta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Komran</w:t>
      </w:r>
      <w:r w:rsidR="009F03C9" w:rsidRPr="008D4CEA">
        <w:rPr>
          <w:sz w:val="22"/>
          <w:szCs w:val="22"/>
          <w:lang w:val="en-US" w:eastAsia="en-US"/>
        </w:rPr>
        <w:t>i</w:t>
      </w:r>
      <w:r w:rsidR="008744CA" w:rsidRPr="008D4CEA">
        <w:rPr>
          <w:sz w:val="22"/>
          <w:szCs w:val="22"/>
          <w:lang w:val="en-US" w:eastAsia="en-US"/>
        </w:rPr>
        <w:t>,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uz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potok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Zastava</w:t>
      </w:r>
      <w:proofErr w:type="spellEnd"/>
      <w:r w:rsidRPr="008D4CEA">
        <w:rPr>
          <w:sz w:val="22"/>
          <w:szCs w:val="22"/>
          <w:lang w:eastAsia="en-US"/>
        </w:rPr>
        <w:t xml:space="preserve">. </w:t>
      </w:r>
      <w:r w:rsidRPr="008D4CEA">
        <w:rPr>
          <w:sz w:val="22"/>
          <w:szCs w:val="22"/>
          <w:lang w:val="en-US" w:eastAsia="en-US"/>
        </w:rPr>
        <w:t>Ovaj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potok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se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neposredno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nizvodno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od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zahvatnog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objekta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ulijeva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u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ve</w:t>
      </w:r>
      <w:proofErr w:type="spellEnd"/>
      <w:r w:rsidRPr="008D4CEA">
        <w:rPr>
          <w:sz w:val="22"/>
          <w:szCs w:val="22"/>
          <w:lang w:eastAsia="en-US"/>
        </w:rPr>
        <w:t>ć</w:t>
      </w:r>
      <w:proofErr w:type="spellStart"/>
      <w:r w:rsidRPr="008D4CEA">
        <w:rPr>
          <w:sz w:val="22"/>
          <w:szCs w:val="22"/>
          <w:lang w:val="en-US" w:eastAsia="en-US"/>
        </w:rPr>
        <w:t>i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potok</w:t>
      </w:r>
      <w:proofErr w:type="spellEnd"/>
      <w:r w:rsidRPr="008D4CEA">
        <w:rPr>
          <w:sz w:val="22"/>
          <w:szCs w:val="22"/>
          <w:lang w:eastAsia="en-US"/>
        </w:rPr>
        <w:t xml:space="preserve">, </w:t>
      </w:r>
      <w:proofErr w:type="spellStart"/>
      <w:r w:rsidRPr="008D4CEA">
        <w:rPr>
          <w:sz w:val="22"/>
          <w:szCs w:val="22"/>
          <w:lang w:val="en-US" w:eastAsia="en-US"/>
        </w:rPr>
        <w:t>Derventa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koji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te</w:t>
      </w:r>
      <w:proofErr w:type="spellEnd"/>
      <w:r w:rsidRPr="008D4CEA">
        <w:rPr>
          <w:sz w:val="22"/>
          <w:szCs w:val="22"/>
          <w:lang w:eastAsia="en-US"/>
        </w:rPr>
        <w:t>č</w:t>
      </w:r>
      <w:r w:rsidRPr="008D4CEA">
        <w:rPr>
          <w:sz w:val="22"/>
          <w:szCs w:val="22"/>
          <w:lang w:val="en-US" w:eastAsia="en-US"/>
        </w:rPr>
        <w:t>e</w:t>
      </w:r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u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pravcu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jug</w:t>
      </w:r>
      <w:r w:rsidRPr="008D4CEA">
        <w:rPr>
          <w:sz w:val="22"/>
          <w:szCs w:val="22"/>
          <w:lang w:eastAsia="en-US"/>
        </w:rPr>
        <w:t xml:space="preserve">- </w:t>
      </w:r>
      <w:proofErr w:type="spellStart"/>
      <w:r w:rsidRPr="008D4CEA">
        <w:rPr>
          <w:sz w:val="22"/>
          <w:szCs w:val="22"/>
          <w:lang w:val="en-US" w:eastAsia="en-US"/>
        </w:rPr>
        <w:t>sjever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i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nakon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cca</w:t>
      </w:r>
      <w:proofErr w:type="spellEnd"/>
      <w:r w:rsidRPr="008D4CEA">
        <w:rPr>
          <w:sz w:val="22"/>
          <w:szCs w:val="22"/>
          <w:lang w:eastAsia="en-US"/>
        </w:rPr>
        <w:t xml:space="preserve"> 1.800 </w:t>
      </w:r>
      <w:r w:rsidRPr="008D4CEA">
        <w:rPr>
          <w:sz w:val="22"/>
          <w:szCs w:val="22"/>
          <w:lang w:val="en-US" w:eastAsia="en-US"/>
        </w:rPr>
        <w:t>m</w:t>
      </w:r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se</w:t>
      </w:r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kao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desna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pritoka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ulijeva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r w:rsidRPr="008D4CEA">
        <w:rPr>
          <w:sz w:val="22"/>
          <w:szCs w:val="22"/>
          <w:lang w:val="en-US" w:eastAsia="en-US"/>
        </w:rPr>
        <w:t>u</w:t>
      </w:r>
      <w:r w:rsidRPr="008D4CEA">
        <w:rPr>
          <w:sz w:val="22"/>
          <w:szCs w:val="22"/>
          <w:lang w:eastAsia="en-US"/>
        </w:rPr>
        <w:t xml:space="preserve"> </w:t>
      </w:r>
      <w:r w:rsidR="00B12B23" w:rsidRPr="008D4CEA">
        <w:rPr>
          <w:sz w:val="22"/>
          <w:szCs w:val="22"/>
          <w:lang w:eastAsia="en-US"/>
        </w:rPr>
        <w:t xml:space="preserve">rijeku </w:t>
      </w:r>
      <w:proofErr w:type="spellStart"/>
      <w:r w:rsidRPr="008D4CEA">
        <w:rPr>
          <w:sz w:val="22"/>
          <w:szCs w:val="22"/>
          <w:lang w:val="en-US" w:eastAsia="en-US"/>
        </w:rPr>
        <w:t>Pra</w:t>
      </w:r>
      <w:proofErr w:type="spellEnd"/>
      <w:r w:rsidRPr="008D4CEA">
        <w:rPr>
          <w:sz w:val="22"/>
          <w:szCs w:val="22"/>
          <w:lang w:eastAsia="en-US"/>
        </w:rPr>
        <w:t>č</w:t>
      </w:r>
      <w:r w:rsidRPr="008D4CEA">
        <w:rPr>
          <w:sz w:val="22"/>
          <w:szCs w:val="22"/>
          <w:lang w:val="en-US" w:eastAsia="en-US"/>
        </w:rPr>
        <w:t>u</w:t>
      </w:r>
      <w:r w:rsidRPr="008D4CEA">
        <w:rPr>
          <w:sz w:val="22"/>
          <w:szCs w:val="22"/>
          <w:lang w:eastAsia="en-US"/>
        </w:rPr>
        <w:t xml:space="preserve">, </w:t>
      </w:r>
      <w:proofErr w:type="spellStart"/>
      <w:r w:rsidRPr="008D4CEA">
        <w:rPr>
          <w:sz w:val="22"/>
          <w:szCs w:val="22"/>
          <w:lang w:val="en-US" w:eastAsia="en-US"/>
        </w:rPr>
        <w:t>kod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mjesta</w:t>
      </w:r>
      <w:proofErr w:type="spellEnd"/>
      <w:r w:rsidRPr="008D4CEA">
        <w:rPr>
          <w:sz w:val="22"/>
          <w:szCs w:val="22"/>
          <w:lang w:eastAsia="en-US"/>
        </w:rPr>
        <w:t xml:space="preserve"> </w:t>
      </w:r>
      <w:proofErr w:type="spellStart"/>
      <w:r w:rsidRPr="008D4CEA">
        <w:rPr>
          <w:sz w:val="22"/>
          <w:szCs w:val="22"/>
          <w:lang w:val="en-US" w:eastAsia="en-US"/>
        </w:rPr>
        <w:t>Podgrab</w:t>
      </w:r>
      <w:proofErr w:type="spellEnd"/>
      <w:r w:rsidRPr="008D4CEA">
        <w:rPr>
          <w:sz w:val="22"/>
          <w:szCs w:val="22"/>
          <w:lang w:eastAsia="en-US"/>
        </w:rPr>
        <w:t>.</w:t>
      </w:r>
    </w:p>
    <w:p w14:paraId="037EBB9C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3.</w:t>
      </w:r>
    </w:p>
    <w:p w14:paraId="2FEFF67D" w14:textId="3E214B3C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Zaštita </w:t>
      </w:r>
      <w:r w:rsidR="002A46CA" w:rsidRPr="008D4CEA">
        <w:rPr>
          <w:rFonts w:eastAsia="Calibri"/>
          <w:sz w:val="22"/>
          <w:szCs w:val="22"/>
          <w:lang w:eastAsia="en-US"/>
        </w:rPr>
        <w:t>I</w:t>
      </w:r>
      <w:r w:rsidRPr="008D4CEA">
        <w:rPr>
          <w:rFonts w:eastAsia="Calibri"/>
          <w:sz w:val="22"/>
          <w:szCs w:val="22"/>
          <w:lang w:eastAsia="en-US"/>
        </w:rPr>
        <w:t>zvorišta vrši se uspostavljanjem i održavanjem zona sanitarne zaštite i zaštitnih mjera, koji su utvrđeni u skladu sa lokalnim uslovima, na osnovu provedenih istražnih radova, analiza i stručnog elaborata.</w:t>
      </w:r>
    </w:p>
    <w:p w14:paraId="23CFDEB5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4.</w:t>
      </w:r>
    </w:p>
    <w:p w14:paraId="789F8960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Utvrđivanje zona sanitarne zaštite i zaštitnih mjera vrši se u cilju zaštite voda izvorišta od svih vidova zagađenja i štetnih uticaja koji mogu nepovoljno djelovati na higijensku ispravnost vode za piće ili na izdašnost izvorišta.</w:t>
      </w:r>
    </w:p>
    <w:p w14:paraId="1B66123D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5.</w:t>
      </w:r>
    </w:p>
    <w:p w14:paraId="35D66EAD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Urbanističko uređenje prostora, privredne, poljoprivredne i druge djelatnosti mogu se vršiti samo na način i u mjeri koji su utvrđeni ovom odlukom. </w:t>
      </w:r>
    </w:p>
    <w:p w14:paraId="7E60A561" w14:textId="26AA06EA" w:rsidR="00B12EE5" w:rsidRPr="008D4CEA" w:rsidRDefault="00B12EE5" w:rsidP="0098490F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Privredna društva, kantonalni i op</w:t>
      </w:r>
      <w:r w:rsidR="00210F0B" w:rsidRPr="008D4CEA">
        <w:rPr>
          <w:rFonts w:eastAsia="Calibri"/>
          <w:sz w:val="22"/>
          <w:szCs w:val="22"/>
          <w:lang w:eastAsia="en-US"/>
        </w:rPr>
        <w:t>ć</w:t>
      </w:r>
      <w:r w:rsidRPr="008D4CEA">
        <w:rPr>
          <w:rFonts w:eastAsia="Calibri"/>
          <w:sz w:val="22"/>
          <w:szCs w:val="22"/>
          <w:lang w:eastAsia="en-US"/>
        </w:rPr>
        <w:t xml:space="preserve">inski organi uprave, druga pravna lica i građani dužni su pridržavati se odredbi ove </w:t>
      </w:r>
      <w:r w:rsidR="008744CA" w:rsidRPr="008D4CEA">
        <w:rPr>
          <w:rFonts w:eastAsia="Calibri"/>
          <w:sz w:val="22"/>
          <w:szCs w:val="22"/>
          <w:lang w:eastAsia="en-US"/>
        </w:rPr>
        <w:t>O</w:t>
      </w:r>
      <w:r w:rsidRPr="008D4CEA">
        <w:rPr>
          <w:rFonts w:eastAsia="Calibri"/>
          <w:sz w:val="22"/>
          <w:szCs w:val="22"/>
          <w:lang w:eastAsia="en-US"/>
        </w:rPr>
        <w:t>dluke i primjenjivati propisane mjere zaštite.</w:t>
      </w:r>
    </w:p>
    <w:p w14:paraId="47BFFEB1" w14:textId="77777777" w:rsidR="00F22853" w:rsidRPr="008D4CEA" w:rsidRDefault="00F22853" w:rsidP="0098490F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14:paraId="5CB585D4" w14:textId="3D03C8C9" w:rsidR="00B12EE5" w:rsidRPr="008D4CEA" w:rsidRDefault="00B12EE5" w:rsidP="002A46CA">
      <w:pPr>
        <w:pStyle w:val="ListParagraph"/>
        <w:numPr>
          <w:ilvl w:val="0"/>
          <w:numId w:val="8"/>
        </w:numPr>
        <w:spacing w:after="120" w:line="276" w:lineRule="auto"/>
        <w:jc w:val="left"/>
        <w:rPr>
          <w:rFonts w:eastAsia="Calibri"/>
          <w:b/>
          <w:sz w:val="22"/>
          <w:szCs w:val="22"/>
          <w:lang w:eastAsia="en-US"/>
        </w:rPr>
      </w:pPr>
      <w:r w:rsidRPr="008D4CEA">
        <w:rPr>
          <w:rFonts w:eastAsia="Calibri"/>
          <w:b/>
          <w:sz w:val="22"/>
          <w:szCs w:val="22"/>
          <w:lang w:eastAsia="en-US"/>
        </w:rPr>
        <w:t xml:space="preserve"> ZONE SANITARNE ZAŠTITE I ZAŠTITNE MJERE</w:t>
      </w:r>
    </w:p>
    <w:p w14:paraId="24D7DBDA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6.</w:t>
      </w:r>
    </w:p>
    <w:p w14:paraId="0819F086" w14:textId="70D64855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U skladu sa Pravilnikom o načinu utvrđivanja uslova za određivanje zona sanitarne zaštite i zaštitnih mjera za izvorišta vode za javno vodosnabdijevanje stanovništva ("Službene novine Federacije BiH", broj: 88/12), </w:t>
      </w:r>
      <w:r w:rsidR="002A46CA" w:rsidRPr="008D4CEA">
        <w:rPr>
          <w:rFonts w:eastAsia="Calibri"/>
          <w:sz w:val="22"/>
          <w:szCs w:val="22"/>
          <w:lang w:eastAsia="en-US"/>
        </w:rPr>
        <w:t>i</w:t>
      </w:r>
      <w:r w:rsidRPr="008D4CEA">
        <w:rPr>
          <w:rFonts w:eastAsia="Calibri"/>
          <w:sz w:val="22"/>
          <w:szCs w:val="22"/>
          <w:lang w:eastAsia="en-US"/>
        </w:rPr>
        <w:t>zvorište “Komrani” predstavlja izvorište podzemnih voda u kraškoj izdani.</w:t>
      </w:r>
    </w:p>
    <w:p w14:paraId="662CEC3D" w14:textId="77777777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  <w:r w:rsidRPr="008D4CEA">
        <w:rPr>
          <w:sz w:val="22"/>
          <w:szCs w:val="22"/>
        </w:rPr>
        <w:t>Za izvorište „Komrani“ utvrđuju se tri zone sanitarne zaštite, i to:</w:t>
      </w:r>
    </w:p>
    <w:p w14:paraId="646FDCC4" w14:textId="77777777" w:rsidR="00B12EE5" w:rsidRPr="008D4CEA" w:rsidRDefault="00B12EE5" w:rsidP="00B12EE5">
      <w:pPr>
        <w:numPr>
          <w:ilvl w:val="0"/>
          <w:numId w:val="2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 zaštitna zona </w:t>
      </w:r>
      <w:r w:rsidRPr="008D4CEA">
        <w:rPr>
          <w:rFonts w:eastAsia="Calibri"/>
          <w:sz w:val="22"/>
          <w:szCs w:val="22"/>
          <w:lang w:val="hr-HR" w:eastAsia="en-US"/>
        </w:rPr>
        <w:tab/>
        <w:t xml:space="preserve">– zona sa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najstrožijim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zabranama i ograničenjima;</w:t>
      </w:r>
    </w:p>
    <w:p w14:paraId="327527AA" w14:textId="77777777" w:rsidR="00B12EE5" w:rsidRPr="008D4CEA" w:rsidRDefault="00B12EE5" w:rsidP="00B12EE5">
      <w:pPr>
        <w:numPr>
          <w:ilvl w:val="0"/>
          <w:numId w:val="2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II zaštitna zona </w:t>
      </w:r>
      <w:r w:rsidRPr="008D4CEA">
        <w:rPr>
          <w:rFonts w:eastAsia="Calibri"/>
          <w:sz w:val="22"/>
          <w:szCs w:val="22"/>
          <w:lang w:val="hr-HR" w:eastAsia="en-US"/>
        </w:rPr>
        <w:tab/>
        <w:t>– zona sa strogim zabranama i ograničenjima;</w:t>
      </w:r>
    </w:p>
    <w:p w14:paraId="537F8424" w14:textId="77777777" w:rsidR="00B12EE5" w:rsidRPr="008D4CEA" w:rsidRDefault="00B12EE5" w:rsidP="00B12EE5">
      <w:pPr>
        <w:numPr>
          <w:ilvl w:val="0"/>
          <w:numId w:val="2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III zaštitna zona </w:t>
      </w:r>
      <w:r w:rsidRPr="008D4CEA">
        <w:rPr>
          <w:rFonts w:eastAsia="Calibri"/>
          <w:sz w:val="22"/>
          <w:szCs w:val="22"/>
          <w:lang w:val="hr-HR" w:eastAsia="en-US"/>
        </w:rPr>
        <w:tab/>
        <w:t>– zona sa umjerenim zabranama i ograničenjima;</w:t>
      </w:r>
    </w:p>
    <w:p w14:paraId="5DFD3BAF" w14:textId="77777777" w:rsidR="00B12EE5" w:rsidRPr="008D4CEA" w:rsidRDefault="00B12EE5" w:rsidP="00B12EE5">
      <w:pPr>
        <w:spacing w:after="120" w:line="276" w:lineRule="auto"/>
        <w:ind w:firstLine="720"/>
        <w:rPr>
          <w:rFonts w:eastAsia="Calibri"/>
          <w:sz w:val="22"/>
          <w:szCs w:val="22"/>
          <w:lang w:eastAsia="en-US"/>
        </w:rPr>
      </w:pPr>
    </w:p>
    <w:p w14:paraId="56E783E9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 w:rsidRPr="008D4CEA">
        <w:rPr>
          <w:rFonts w:eastAsia="Calibri"/>
          <w:b/>
          <w:bCs/>
          <w:iCs/>
          <w:sz w:val="22"/>
          <w:szCs w:val="22"/>
          <w:lang w:eastAsia="en-US"/>
        </w:rPr>
        <w:t xml:space="preserve"> I  ZAŠTITNA ZONA – </w:t>
      </w:r>
      <w:bookmarkStart w:id="1" w:name="OLE_LINK1"/>
      <w:r w:rsidRPr="008D4CEA">
        <w:rPr>
          <w:rFonts w:eastAsia="Calibri"/>
          <w:b/>
          <w:bCs/>
          <w:iCs/>
          <w:sz w:val="22"/>
          <w:szCs w:val="22"/>
          <w:lang w:eastAsia="en-US"/>
        </w:rPr>
        <w:t xml:space="preserve">ZONA </w:t>
      </w:r>
      <w:bookmarkEnd w:id="1"/>
      <w:r w:rsidRPr="008D4CEA">
        <w:rPr>
          <w:rFonts w:eastAsia="Calibri"/>
          <w:b/>
          <w:bCs/>
          <w:iCs/>
          <w:sz w:val="22"/>
          <w:szCs w:val="22"/>
          <w:lang w:eastAsia="en-US"/>
        </w:rPr>
        <w:t>NAJSTROŽIJIM ZABRANAMA I OGRANIČENJIMA – ZONA IZVORIŠTA</w:t>
      </w:r>
    </w:p>
    <w:p w14:paraId="0ABC6B99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7.</w:t>
      </w:r>
    </w:p>
    <w:p w14:paraId="797879E9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Područje I zaštitne zone obuhvata prostor oko vodozahvatnog objekta koje ima funkciju sprječavanja neposrednog fizičkog oštećenja ili zagađenja.</w:t>
      </w:r>
    </w:p>
    <w:p w14:paraId="1DE9DBBA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Granica I zaštitne zone podudara se sa postojećom ogradom oko vodozahvatnih objekata, a leži minimalno 10 metara od ivica/zidova objekta kaptaže. Ukupna površina I zaštitne zone iznosi 100 m</w:t>
      </w:r>
      <w:r w:rsidRPr="008D4CEA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8D4CEA">
        <w:rPr>
          <w:rFonts w:eastAsia="Calibri"/>
          <w:sz w:val="22"/>
          <w:szCs w:val="22"/>
          <w:lang w:eastAsia="en-US"/>
        </w:rPr>
        <w:t xml:space="preserve">. </w:t>
      </w:r>
    </w:p>
    <w:p w14:paraId="2F9F409E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8.</w:t>
      </w:r>
    </w:p>
    <w:p w14:paraId="0B7EC345" w14:textId="75B66153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Područje I zaštitne zone, kao uostalom i sve zone zaštite se nalazi na prostoru Općine Pale.</w:t>
      </w:r>
    </w:p>
    <w:p w14:paraId="1915E7B0" w14:textId="51AF08EF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Općina Pale će u skladu sa važećim propisima o eksproprijaciji regulisati pitanje imovinsko-pravnih odnosa sa eventualnim vlasnicima zemljišta na području I zaštitne zone u dijelu koji se odnosi na njen kompletan prostor kao i pravo korištenja pristupa do nje, ukoliko isto nije urađeno do sada.</w:t>
      </w:r>
    </w:p>
    <w:p w14:paraId="7866188F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9.</w:t>
      </w:r>
    </w:p>
    <w:p w14:paraId="7FC92D0B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Na području I zaštitne zone nalaze se slijedeći objekti:</w:t>
      </w:r>
    </w:p>
    <w:p w14:paraId="63D1EC04" w14:textId="77777777" w:rsidR="00B12EE5" w:rsidRPr="008D4CEA" w:rsidRDefault="00B12EE5" w:rsidP="00B12EE5">
      <w:pPr>
        <w:numPr>
          <w:ilvl w:val="0"/>
          <w:numId w:val="3"/>
        </w:num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vodozahvatni objekat, tj. kaptažna armirano- betonska građevina koja se sastoji od ukopanog sabirnog bazena te potrebnim cijevnim razvodom uz odgovarajuću hidro- mehaničku opremu  i zatvarače;</w:t>
      </w:r>
    </w:p>
    <w:p w14:paraId="07583A63" w14:textId="77777777" w:rsidR="00B12EE5" w:rsidRPr="008D4CEA" w:rsidRDefault="00B12EE5" w:rsidP="00B12EE5">
      <w:pPr>
        <w:numPr>
          <w:ilvl w:val="0"/>
          <w:numId w:val="3"/>
        </w:num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okno za smještaj zatvarača; </w:t>
      </w:r>
    </w:p>
    <w:p w14:paraId="5EC48EC7" w14:textId="77777777" w:rsidR="00B12EE5" w:rsidRPr="008D4CEA" w:rsidRDefault="00B12EE5" w:rsidP="00B12EE5">
      <w:pPr>
        <w:numPr>
          <w:ilvl w:val="0"/>
          <w:numId w:val="3"/>
        </w:numPr>
        <w:spacing w:after="12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8D4CEA">
        <w:rPr>
          <w:rFonts w:eastAsia="Calibri"/>
          <w:color w:val="000000"/>
          <w:sz w:val="22"/>
          <w:szCs w:val="22"/>
          <w:lang w:eastAsia="en-US"/>
        </w:rPr>
        <w:t>ograda sa ulaznom kapijom.</w:t>
      </w:r>
    </w:p>
    <w:p w14:paraId="35A64594" w14:textId="77777777" w:rsidR="00B12EE5" w:rsidRPr="008D4CEA" w:rsidRDefault="00B12EE5" w:rsidP="00B12EE5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Pored objekata iz prethodnog stava ovog člana, na području I zaštitne zone mogu se, uz primjenu potrebnih mjera zaštite, nalaziti vodozahvatni objekti - bunari, kaptažne građevine, rezervoari, pumpne stanice, pogonske zgrade, prilazni i unutrašnji putevi i drugi objekti neophodni za rad sistema vodosnabdijevanja.</w:t>
      </w:r>
    </w:p>
    <w:p w14:paraId="46C81E13" w14:textId="77777777" w:rsidR="00B12EE5" w:rsidRPr="008D4CEA" w:rsidRDefault="00B12EE5" w:rsidP="00B12EE5">
      <w:pPr>
        <w:spacing w:before="240"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10.</w:t>
      </w:r>
    </w:p>
    <w:p w14:paraId="06369A8B" w14:textId="180A34E2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Vodoprivredni i drugi objekti iz člana 9. ove </w:t>
      </w:r>
      <w:r w:rsidR="00915CF2" w:rsidRPr="008D4CEA">
        <w:rPr>
          <w:rFonts w:eastAsia="Calibri"/>
          <w:sz w:val="22"/>
          <w:szCs w:val="22"/>
          <w:lang w:eastAsia="en-US"/>
        </w:rPr>
        <w:t>O</w:t>
      </w:r>
      <w:r w:rsidRPr="008D4CEA">
        <w:rPr>
          <w:rFonts w:eastAsia="Calibri"/>
          <w:sz w:val="22"/>
          <w:szCs w:val="22"/>
          <w:lang w:eastAsia="en-US"/>
        </w:rPr>
        <w:t xml:space="preserve">dluke i njima pripadajuća oprema u </w:t>
      </w:r>
      <w:r w:rsidR="002A46CA" w:rsidRPr="008D4CEA">
        <w:rPr>
          <w:rFonts w:eastAsia="Calibri"/>
          <w:sz w:val="22"/>
          <w:szCs w:val="22"/>
          <w:lang w:eastAsia="en-US"/>
        </w:rPr>
        <w:t xml:space="preserve">ustupljeni su </w:t>
      </w:r>
      <w:r w:rsidRPr="008D4CEA">
        <w:rPr>
          <w:rFonts w:eastAsia="Calibri"/>
          <w:sz w:val="22"/>
          <w:szCs w:val="22"/>
          <w:lang w:eastAsia="en-US"/>
        </w:rPr>
        <w:t xml:space="preserve"> su </w:t>
      </w:r>
      <w:r w:rsidR="002A46CA" w:rsidRPr="008D4CEA">
        <w:rPr>
          <w:rFonts w:eastAsia="Calibri"/>
          <w:sz w:val="22"/>
          <w:szCs w:val="22"/>
          <w:lang w:eastAsia="en-US"/>
        </w:rPr>
        <w:t xml:space="preserve">na korištenje i održavanje </w:t>
      </w:r>
      <w:r w:rsidRPr="008D4CEA">
        <w:rPr>
          <w:rFonts w:eastAsia="Calibri"/>
          <w:sz w:val="22"/>
          <w:szCs w:val="22"/>
          <w:lang w:eastAsia="en-US"/>
        </w:rPr>
        <w:t>JKP «PRAČA» u Prači</w:t>
      </w:r>
      <w:r w:rsidR="002A46CA" w:rsidRPr="008D4CEA">
        <w:rPr>
          <w:rFonts w:eastAsia="Calibri"/>
          <w:sz w:val="22"/>
          <w:szCs w:val="22"/>
          <w:lang w:eastAsia="en-US"/>
        </w:rPr>
        <w:t>,</w:t>
      </w:r>
      <w:r w:rsidRPr="008D4CEA">
        <w:rPr>
          <w:rFonts w:eastAsia="Calibri"/>
          <w:sz w:val="22"/>
          <w:szCs w:val="22"/>
          <w:lang w:eastAsia="en-US"/>
        </w:rPr>
        <w:t xml:space="preserve"> koje gazduje cjelovitim sistemom javnog vodosnabdijevanja na prostoru </w:t>
      </w:r>
      <w:r w:rsidR="002A46CA" w:rsidRPr="008D4CEA">
        <w:rPr>
          <w:rFonts w:eastAsia="Calibri"/>
          <w:sz w:val="22"/>
          <w:szCs w:val="22"/>
          <w:lang w:eastAsia="en-US"/>
        </w:rPr>
        <w:t>O</w:t>
      </w:r>
      <w:r w:rsidRPr="008D4CEA">
        <w:rPr>
          <w:rFonts w:eastAsia="Calibri"/>
          <w:sz w:val="22"/>
          <w:szCs w:val="22"/>
          <w:lang w:eastAsia="en-US"/>
        </w:rPr>
        <w:t>pćine. Uz ove objekte, u nadležnosti JKP «PRAČA» su i kaptažni objekti na drugim lokalitetima kao i objekti za transport i akumuliranje voda kao i distributivna mreža.</w:t>
      </w:r>
    </w:p>
    <w:p w14:paraId="77D37F97" w14:textId="41220519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Općina Pale  je nadležna za sprovođenje svih zaštitnih mjera propisanih ovom odlukom na području I zaštitne zone.</w:t>
      </w:r>
    </w:p>
    <w:p w14:paraId="5A55F6C9" w14:textId="77777777" w:rsidR="008D4CEA" w:rsidRDefault="008D4CEA" w:rsidP="00B12EE5">
      <w:pPr>
        <w:spacing w:after="120"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07D2AD6F" w14:textId="2FDD5D6D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lastRenderedPageBreak/>
        <w:t>Član 11.</w:t>
      </w:r>
    </w:p>
    <w:p w14:paraId="38542C41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Područje I zaštitne zone mora biti zaštićeno od neovlaštenog pristupa ogradom, kao i drugim potrebnim mjerama fizičke zaštite i osiguranja.</w:t>
      </w:r>
    </w:p>
    <w:p w14:paraId="1032848B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Ograda iz prethodnog stava ovog člana mora biti izvedena na način da spriječi neovlašteni ili nasilni ulazak na područje I zaštitne zone.</w:t>
      </w:r>
    </w:p>
    <w:p w14:paraId="7D13948B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12.</w:t>
      </w:r>
    </w:p>
    <w:p w14:paraId="7336A6B5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Potrebno je na odgovarajući način obilježiti I zaštitnu zonu, što naročito uključuje naziv izvorišta i zaštitne zone, naziv JKP «PRAČA», broj dežurnog telefona za hitne slučajeve i upozorenje o zabrani neovlaštenog pristupa.</w:t>
      </w:r>
    </w:p>
    <w:p w14:paraId="12A664AB" w14:textId="77777777" w:rsidR="00B12EE5" w:rsidRPr="008D4CEA" w:rsidRDefault="00B12EE5" w:rsidP="00B12EE5">
      <w:pPr>
        <w:spacing w:before="240"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13.</w:t>
      </w:r>
    </w:p>
    <w:p w14:paraId="1470B1CA" w14:textId="4393C1DC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Pristup na područje I zaštitne zone dozvoljen je samo ovlaštenim osobama, što uključuje zaposlenike JKP «PRAČA» koji stalno ili povremeno rade na objektima unutar ove zone i nadležnim inspekcijskim organima u toku vršenja redovnih ili vanrednih kontrola ove zone, nadležnim iz Komunalnog preduzeća, kao i drugim licima uz posebno odobrenje Općine Pale</w:t>
      </w:r>
      <w:r w:rsidR="002A46CA" w:rsidRPr="008D4CEA">
        <w:rPr>
          <w:rFonts w:eastAsia="Calibri"/>
          <w:sz w:val="22"/>
          <w:szCs w:val="22"/>
          <w:lang w:eastAsia="en-US"/>
        </w:rPr>
        <w:t>.</w:t>
      </w:r>
    </w:p>
    <w:p w14:paraId="426158AA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Sva lica iz prethodnog stava ovog člana moraju posjedovati odgovarajuće propusnice kako bi mogla pristupiti prostoru I zaštitne zone. </w:t>
      </w:r>
    </w:p>
    <w:p w14:paraId="2B935A22" w14:textId="77777777" w:rsidR="00B12EE5" w:rsidRPr="008D4CEA" w:rsidRDefault="00B12EE5" w:rsidP="00B12EE5">
      <w:pPr>
        <w:keepNext/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14.</w:t>
      </w:r>
    </w:p>
    <w:p w14:paraId="4EF5A52A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Lica koja stalno ili povremeno rade na objektima unutar I zaštitne zone moraju biti podvrgnuta periodičnim liječničkim pregledima, u skladu sa odgovarajućim propisima o sanitarnoj zaštiti.</w:t>
      </w:r>
    </w:p>
    <w:p w14:paraId="40CE1BCB" w14:textId="77777777" w:rsidR="00B12EE5" w:rsidRPr="008D4CEA" w:rsidRDefault="00B12EE5" w:rsidP="00B12EE5">
      <w:pPr>
        <w:keepNext/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15.</w:t>
      </w:r>
    </w:p>
    <w:p w14:paraId="3E0D04ED" w14:textId="08E5F6A1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Na području I zaštitne zone </w:t>
      </w:r>
      <w:r w:rsidR="002A46CA" w:rsidRPr="008D4CEA">
        <w:rPr>
          <w:rFonts w:eastAsia="Calibri"/>
          <w:sz w:val="22"/>
          <w:szCs w:val="22"/>
          <w:lang w:eastAsia="en-US"/>
        </w:rPr>
        <w:t>I</w:t>
      </w:r>
      <w:r w:rsidRPr="008D4CEA">
        <w:rPr>
          <w:rFonts w:eastAsia="Calibri"/>
          <w:sz w:val="22"/>
          <w:szCs w:val="22"/>
          <w:lang w:eastAsia="en-US"/>
        </w:rPr>
        <w:t xml:space="preserve">zvorišta zabranjuju se sve aktivnosti koje nisu u direktnoj vezi sa normalnim radom i održavanjem vodozahvatnog objekta. Aktivnosti koje se provode u cilju normalnog rada i održavanja vodozahvatnog objekta ne smiju štetno djelovati na </w:t>
      </w:r>
      <w:r w:rsidR="000B6C3A" w:rsidRPr="008D4CEA">
        <w:rPr>
          <w:rFonts w:eastAsia="Calibri"/>
          <w:sz w:val="22"/>
          <w:szCs w:val="22"/>
          <w:lang w:eastAsia="en-US"/>
        </w:rPr>
        <w:t>i</w:t>
      </w:r>
      <w:r w:rsidRPr="008D4CEA">
        <w:rPr>
          <w:rFonts w:eastAsia="Calibri"/>
          <w:sz w:val="22"/>
          <w:szCs w:val="22"/>
          <w:lang w:eastAsia="en-US"/>
        </w:rPr>
        <w:t>zvorište.</w:t>
      </w:r>
    </w:p>
    <w:p w14:paraId="1482CB32" w14:textId="648EA2A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Izuzetno od odredaba stava 1. ovog člana, JKP «PRAČA» duž</w:t>
      </w:r>
      <w:r w:rsidR="002A46CA" w:rsidRPr="008D4CEA">
        <w:rPr>
          <w:rFonts w:eastAsia="Calibri"/>
          <w:sz w:val="22"/>
          <w:szCs w:val="22"/>
          <w:lang w:eastAsia="en-US"/>
        </w:rPr>
        <w:t>no</w:t>
      </w:r>
      <w:r w:rsidRPr="008D4CEA">
        <w:rPr>
          <w:rFonts w:eastAsia="Calibri"/>
          <w:sz w:val="22"/>
          <w:szCs w:val="22"/>
          <w:lang w:eastAsia="en-US"/>
        </w:rPr>
        <w:t xml:space="preserve"> je da zemljište u I zaštitnoj zoni zasije travom i rastinjem plitkog i vezanog korjenja, pri čemu je najstrožije zabranjena upotreba prirodnog ili vještačkog đubriva, hemijskih sredstava za zaštitu bilja, kao i drugih agrotehničkih sredstava.</w:t>
      </w:r>
    </w:p>
    <w:p w14:paraId="78BA017F" w14:textId="3A052DB2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Izuzetno od odredaba stava 1. ovog člana, dozvoljeno je provođenje instalacija u funkciji  normalnog rada objekata za vodosnad</w:t>
      </w:r>
      <w:r w:rsidR="005C52F0" w:rsidRPr="008D4CEA">
        <w:rPr>
          <w:rFonts w:eastAsia="Calibri"/>
          <w:sz w:val="22"/>
          <w:szCs w:val="22"/>
          <w:lang w:eastAsia="en-US"/>
        </w:rPr>
        <w:t>b</w:t>
      </w:r>
      <w:r w:rsidRPr="008D4CEA">
        <w:rPr>
          <w:rFonts w:eastAsia="Calibri"/>
          <w:sz w:val="22"/>
          <w:szCs w:val="22"/>
          <w:lang w:eastAsia="en-US"/>
        </w:rPr>
        <w:t>ijevanje, i u tom slučaju je odgovarajućim projektnim i izvođačkim rješenjima potrebno osigurati da te instalacije ne mogu direktno ugroziti izvorište.</w:t>
      </w:r>
    </w:p>
    <w:p w14:paraId="12D85828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14:paraId="10BAA31E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iCs/>
          <w:sz w:val="22"/>
          <w:szCs w:val="22"/>
          <w:lang w:eastAsia="en-US"/>
        </w:rPr>
      </w:pPr>
      <w:r w:rsidRPr="008D4CEA">
        <w:rPr>
          <w:rFonts w:eastAsia="Calibri"/>
          <w:b/>
          <w:bCs/>
          <w:iCs/>
          <w:sz w:val="22"/>
          <w:szCs w:val="22"/>
          <w:lang w:eastAsia="en-US"/>
        </w:rPr>
        <w:t>II ZAŠTITNA ZONA – ZONA SA STROGIM ZABRANAMA I OGRANIČENJIMA</w:t>
      </w:r>
    </w:p>
    <w:p w14:paraId="63106C4B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16.</w:t>
      </w:r>
    </w:p>
    <w:p w14:paraId="08177482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>Područje II zaštitne zone obuhvata prostor od granice I zaštitne zone do vanjske granice II zaštitne zone.</w:t>
      </w:r>
    </w:p>
    <w:p w14:paraId="06DD4AFD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Druga II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val="hr-HR"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izvori</w:t>
      </w:r>
      <w:r w:rsidRPr="008D4CEA">
        <w:rPr>
          <w:rFonts w:eastAsia="Calibri"/>
          <w:sz w:val="22"/>
          <w:szCs w:val="22"/>
          <w:lang w:val="hr-HR"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ta</w:t>
      </w:r>
      <w:r w:rsidRPr="008D4CEA">
        <w:rPr>
          <w:rFonts w:eastAsia="Calibri"/>
          <w:sz w:val="22"/>
          <w:szCs w:val="22"/>
          <w:lang w:val="hr-HR" w:eastAsia="en-US"/>
        </w:rPr>
        <w:t xml:space="preserve"> “Komrani” obuhvata prostor unutar površinske (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orografske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) vododijelnice slivnog područja izvorišta “Komrani”. </w:t>
      </w:r>
    </w:p>
    <w:p w14:paraId="72928261" w14:textId="3B0DEE0B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>Vanjska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granica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granica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druge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eastAsia="en-US"/>
        </w:rPr>
        <w:t>II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val="hr-HR"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titne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zone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je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u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pravcu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sjeverozapada</w:t>
      </w:r>
      <w:r w:rsidRPr="008D4CEA">
        <w:rPr>
          <w:rFonts w:eastAsia="Calibri"/>
          <w:sz w:val="22"/>
          <w:szCs w:val="22"/>
          <w:lang w:val="hr-HR" w:eastAsia="en-US"/>
        </w:rPr>
        <w:t xml:space="preserve">  </w:t>
      </w:r>
      <w:r w:rsidRPr="008D4CEA">
        <w:rPr>
          <w:rFonts w:eastAsia="Calibri"/>
          <w:sz w:val="22"/>
          <w:szCs w:val="22"/>
          <w:lang w:val="pl-PL" w:eastAsia="en-US"/>
        </w:rPr>
        <w:t>udaljena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oko</w:t>
      </w:r>
      <w:r w:rsidRPr="008D4CEA">
        <w:rPr>
          <w:rFonts w:eastAsia="Calibri"/>
          <w:sz w:val="22"/>
          <w:szCs w:val="22"/>
          <w:lang w:val="hr-HR" w:eastAsia="en-US"/>
        </w:rPr>
        <w:t xml:space="preserve"> 650 </w:t>
      </w:r>
      <w:r w:rsidRPr="008D4CEA">
        <w:rPr>
          <w:rFonts w:eastAsia="Calibri"/>
          <w:sz w:val="22"/>
          <w:szCs w:val="22"/>
          <w:lang w:val="pl-PL" w:eastAsia="en-US"/>
        </w:rPr>
        <w:t>m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od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vodozahvatnog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objekata</w:t>
      </w:r>
      <w:r w:rsidRPr="008D4CEA">
        <w:rPr>
          <w:rFonts w:eastAsia="Calibri"/>
          <w:sz w:val="22"/>
          <w:szCs w:val="22"/>
          <w:lang w:val="hr-HR" w:eastAsia="en-US"/>
        </w:rPr>
        <w:t xml:space="preserve"> dok </w:t>
      </w:r>
      <w:r w:rsidRPr="008D4CEA">
        <w:rPr>
          <w:rFonts w:eastAsia="Calibri"/>
          <w:sz w:val="22"/>
          <w:szCs w:val="22"/>
          <w:lang w:val="pl-PL" w:eastAsia="en-US"/>
        </w:rPr>
        <w:t>se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eastAsia="en-US"/>
        </w:rPr>
        <w:t xml:space="preserve">na jugozapadu pruža od izvora “Komrani” u pravcu vrha </w:t>
      </w:r>
      <w:r w:rsidR="000B6C3A" w:rsidRPr="008D4CEA">
        <w:rPr>
          <w:rFonts w:eastAsia="Calibri"/>
          <w:sz w:val="22"/>
          <w:szCs w:val="22"/>
          <w:lang w:eastAsia="en-US"/>
        </w:rPr>
        <w:t>C</w:t>
      </w:r>
      <w:r w:rsidRPr="008D4CEA">
        <w:rPr>
          <w:rFonts w:eastAsia="Calibri"/>
          <w:sz w:val="22"/>
          <w:szCs w:val="22"/>
          <w:lang w:eastAsia="en-US"/>
        </w:rPr>
        <w:t>erice (k.1.271) odakle povija prema sjeveroistoku preko Pogleda (k.1.250). Od sela Pogled povija ka jugoistoku do nekropole stećaka odakle nastavlja izohipsom 1.025 do doline potoka Zastava i izvora “Komrani”.</w:t>
      </w:r>
    </w:p>
    <w:p w14:paraId="79A0C576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t xml:space="preserve">II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izvori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ta</w:t>
      </w:r>
      <w:r w:rsidRPr="008D4CEA">
        <w:rPr>
          <w:rFonts w:eastAsia="Calibri"/>
          <w:sz w:val="22"/>
          <w:szCs w:val="22"/>
          <w:lang w:eastAsia="en-US"/>
        </w:rPr>
        <w:t xml:space="preserve"> “</w:t>
      </w:r>
      <w:r w:rsidRPr="008D4CEA">
        <w:rPr>
          <w:rFonts w:eastAsia="Calibri"/>
          <w:sz w:val="22"/>
          <w:szCs w:val="22"/>
          <w:lang w:val="pl-PL" w:eastAsia="en-US"/>
        </w:rPr>
        <w:t>Komrani</w:t>
      </w:r>
      <w:r w:rsidRPr="008D4CEA">
        <w:rPr>
          <w:rFonts w:eastAsia="Calibri"/>
          <w:sz w:val="22"/>
          <w:szCs w:val="22"/>
          <w:lang w:eastAsia="en-US"/>
        </w:rPr>
        <w:t xml:space="preserve">” </w:t>
      </w:r>
      <w:r w:rsidRPr="008D4CEA">
        <w:rPr>
          <w:rFonts w:eastAsia="Calibri"/>
          <w:sz w:val="22"/>
          <w:szCs w:val="22"/>
          <w:lang w:val="pl-PL" w:eastAsia="en-US"/>
        </w:rPr>
        <w:t>ima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povr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inu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oko</w:t>
      </w:r>
      <w:r w:rsidRPr="008D4CEA">
        <w:rPr>
          <w:rFonts w:eastAsia="Calibri"/>
          <w:sz w:val="22"/>
          <w:szCs w:val="22"/>
          <w:lang w:eastAsia="en-US"/>
        </w:rPr>
        <w:t xml:space="preserve"> 0,27 </w:t>
      </w:r>
      <w:r w:rsidRPr="008D4CEA">
        <w:rPr>
          <w:rFonts w:eastAsia="Calibri"/>
          <w:sz w:val="22"/>
          <w:szCs w:val="22"/>
          <w:lang w:val="pl-PL" w:eastAsia="en-US"/>
        </w:rPr>
        <w:t>km</w:t>
      </w:r>
      <w:r w:rsidRPr="008D4CEA">
        <w:rPr>
          <w:rFonts w:eastAsia="Calibri"/>
          <w:sz w:val="22"/>
          <w:szCs w:val="22"/>
          <w:vertAlign w:val="superscript"/>
          <w:lang w:eastAsia="en-US"/>
        </w:rPr>
        <w:t>2</w:t>
      </w:r>
      <w:r w:rsidRPr="008D4CEA">
        <w:rPr>
          <w:rFonts w:eastAsia="Calibri"/>
          <w:sz w:val="22"/>
          <w:szCs w:val="22"/>
          <w:lang w:eastAsia="en-US"/>
        </w:rPr>
        <w:t xml:space="preserve">. </w:t>
      </w:r>
    </w:p>
    <w:p w14:paraId="27C43462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>Unutar</w:t>
      </w:r>
      <w:r w:rsidRPr="008D4CEA">
        <w:rPr>
          <w:rFonts w:eastAsia="Calibri"/>
          <w:sz w:val="22"/>
          <w:szCs w:val="22"/>
          <w:lang w:eastAsia="en-US"/>
        </w:rPr>
        <w:t xml:space="preserve"> II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se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od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potencijalnih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zaga</w:t>
      </w:r>
      <w:r w:rsidRPr="008D4CEA">
        <w:rPr>
          <w:rFonts w:eastAsia="Calibri"/>
          <w:sz w:val="22"/>
          <w:szCs w:val="22"/>
          <w:lang w:eastAsia="en-US"/>
        </w:rPr>
        <w:t>đ</w:t>
      </w:r>
      <w:r w:rsidRPr="008D4CEA">
        <w:rPr>
          <w:rFonts w:eastAsia="Calibri"/>
          <w:sz w:val="22"/>
          <w:szCs w:val="22"/>
          <w:lang w:val="pl-PL" w:eastAsia="en-US"/>
        </w:rPr>
        <w:t>iva</w:t>
      </w:r>
      <w:r w:rsidRPr="008D4CEA">
        <w:rPr>
          <w:rFonts w:eastAsia="Calibri"/>
          <w:sz w:val="22"/>
          <w:szCs w:val="22"/>
          <w:lang w:eastAsia="en-US"/>
        </w:rPr>
        <w:t>č</w:t>
      </w:r>
      <w:r w:rsidRPr="008D4CEA">
        <w:rPr>
          <w:rFonts w:eastAsia="Calibri"/>
          <w:sz w:val="22"/>
          <w:szCs w:val="22"/>
          <w:lang w:val="pl-PL" w:eastAsia="en-US"/>
        </w:rPr>
        <w:t>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izvori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nalaze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individualni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stambeni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objekti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u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dijelovima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naselja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Komrani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sa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lokalnom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mre</w:t>
      </w:r>
      <w:r w:rsidRPr="008D4CEA">
        <w:rPr>
          <w:rFonts w:eastAsia="Calibri"/>
          <w:sz w:val="22"/>
          <w:szCs w:val="22"/>
          <w:lang w:eastAsia="en-US"/>
        </w:rPr>
        <w:t>ž</w:t>
      </w:r>
      <w:r w:rsidRPr="008D4CEA">
        <w:rPr>
          <w:rFonts w:eastAsia="Calibri"/>
          <w:sz w:val="22"/>
          <w:szCs w:val="22"/>
          <w:lang w:val="pl-PL" w:eastAsia="en-US"/>
        </w:rPr>
        <w:t>om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puteva</w:t>
      </w:r>
      <w:r w:rsidRPr="008D4CEA">
        <w:rPr>
          <w:rFonts w:eastAsia="Calibri"/>
          <w:sz w:val="22"/>
          <w:szCs w:val="22"/>
          <w:lang w:eastAsia="en-US"/>
        </w:rPr>
        <w:t xml:space="preserve">. </w:t>
      </w:r>
    </w:p>
    <w:p w14:paraId="2D1A5876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eastAsia="en-US"/>
        </w:rPr>
        <w:lastRenderedPageBreak/>
        <w:t xml:space="preserve">Druga II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hr-HR" w:eastAsia="en-US"/>
        </w:rPr>
        <w:t xml:space="preserve">izvorišta </w:t>
      </w:r>
      <w:r w:rsidRPr="008D4CEA">
        <w:rPr>
          <w:rFonts w:eastAsia="Calibri"/>
          <w:sz w:val="22"/>
          <w:szCs w:val="22"/>
          <w:lang w:eastAsia="en-US"/>
        </w:rPr>
        <w:t>“</w:t>
      </w:r>
      <w:r w:rsidRPr="008D4CEA">
        <w:rPr>
          <w:rFonts w:eastAsia="Calibri"/>
          <w:sz w:val="22"/>
          <w:szCs w:val="22"/>
          <w:lang w:val="pl-PL" w:eastAsia="en-US"/>
        </w:rPr>
        <w:t>Komrani</w:t>
      </w:r>
      <w:r w:rsidRPr="008D4CEA">
        <w:rPr>
          <w:rFonts w:eastAsia="Calibri"/>
          <w:sz w:val="22"/>
          <w:szCs w:val="22"/>
          <w:lang w:eastAsia="en-US"/>
        </w:rPr>
        <w:t xml:space="preserve">” </w:t>
      </w:r>
      <w:r w:rsidRPr="008D4CEA">
        <w:rPr>
          <w:rFonts w:eastAsia="Calibri"/>
          <w:sz w:val="22"/>
          <w:szCs w:val="22"/>
          <w:lang w:val="pl-PL" w:eastAsia="en-US"/>
        </w:rPr>
        <w:t>predstavlja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zonu</w:t>
      </w:r>
      <w:r w:rsidRPr="008D4CEA">
        <w:rPr>
          <w:rFonts w:eastAsia="Calibri"/>
          <w:sz w:val="22"/>
          <w:szCs w:val="22"/>
          <w:lang w:eastAsia="en-US"/>
        </w:rPr>
        <w:t xml:space="preserve"> strogog </w:t>
      </w:r>
      <w:r w:rsidRPr="008D4CEA">
        <w:rPr>
          <w:rFonts w:eastAsia="Calibri"/>
          <w:sz w:val="22"/>
          <w:szCs w:val="22"/>
          <w:lang w:val="pl-PL" w:eastAsia="en-US"/>
        </w:rPr>
        <w:t>re</w:t>
      </w:r>
      <w:r w:rsidRPr="008D4CEA">
        <w:rPr>
          <w:rFonts w:eastAsia="Calibri"/>
          <w:sz w:val="22"/>
          <w:szCs w:val="22"/>
          <w:lang w:eastAsia="en-US"/>
        </w:rPr>
        <w:t>ž</w:t>
      </w:r>
      <w:r w:rsidRPr="008D4CEA">
        <w:rPr>
          <w:rFonts w:eastAsia="Calibri"/>
          <w:sz w:val="22"/>
          <w:szCs w:val="22"/>
          <w:lang w:val="pl-PL" w:eastAsia="en-US"/>
        </w:rPr>
        <w:t>ima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podzemnih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voda</w:t>
      </w:r>
      <w:r w:rsidRPr="008D4CEA">
        <w:rPr>
          <w:rFonts w:eastAsia="Calibri"/>
          <w:sz w:val="22"/>
          <w:szCs w:val="22"/>
          <w:lang w:eastAsia="en-US"/>
        </w:rPr>
        <w:t>.</w:t>
      </w:r>
    </w:p>
    <w:p w14:paraId="66C07DEF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17.</w:t>
      </w:r>
      <w:r w:rsidRPr="008D4CEA">
        <w:rPr>
          <w:rFonts w:eastAsia="Calibri"/>
          <w:b/>
          <w:bCs/>
          <w:sz w:val="22"/>
          <w:szCs w:val="22"/>
          <w:lang w:eastAsia="en-US"/>
        </w:rPr>
        <w:tab/>
      </w:r>
    </w:p>
    <w:p w14:paraId="01AC1637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val="pl-PL"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 xml:space="preserve">Na području druge zaštitne zone zabranjeno je izvođenje radova, izgradnja objekata i obavljanje aktivnosti kojima se mogu zagaditi vode izvorišta  </w:t>
      </w:r>
      <w:r w:rsidRPr="008D4CEA">
        <w:rPr>
          <w:rFonts w:eastAsia="Calibri"/>
          <w:sz w:val="22"/>
          <w:szCs w:val="22"/>
          <w:lang w:val="hr-HR" w:eastAsia="en-US"/>
        </w:rPr>
        <w:t>"</w:t>
      </w:r>
      <w:r w:rsidRPr="008D4CEA">
        <w:rPr>
          <w:rFonts w:eastAsia="Calibri"/>
          <w:sz w:val="22"/>
          <w:szCs w:val="22"/>
          <w:lang w:val="pl-PL" w:eastAsia="en-US"/>
        </w:rPr>
        <w:t>Komrani</w:t>
      </w:r>
      <w:r w:rsidRPr="008D4CEA">
        <w:rPr>
          <w:rFonts w:eastAsia="Calibri"/>
          <w:sz w:val="22"/>
          <w:szCs w:val="22"/>
          <w:lang w:val="hr-HR" w:eastAsia="en-US"/>
        </w:rPr>
        <w:t>"</w:t>
      </w:r>
      <w:r w:rsidRPr="008D4CEA">
        <w:rPr>
          <w:rFonts w:eastAsia="Calibri"/>
          <w:sz w:val="22"/>
          <w:szCs w:val="22"/>
          <w:lang w:val="pl-PL" w:eastAsia="en-US"/>
        </w:rPr>
        <w:t>, a naročito:</w:t>
      </w:r>
    </w:p>
    <w:p w14:paraId="41DCEE08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novih urbanih naselja,</w:t>
      </w:r>
    </w:p>
    <w:p w14:paraId="53A48FA2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Proširenje postojećih urbanih naselja,</w:t>
      </w:r>
    </w:p>
    <w:p w14:paraId="6B272BD1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Individualna stambena izgradnja uz korištenje samostalnih sistema za tretman otpadnih voda (npr. septičke jame),</w:t>
      </w:r>
    </w:p>
    <w:p w14:paraId="58C8D554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Održavanje postojećih građevinskih objekata bez promjene namjene,</w:t>
      </w:r>
    </w:p>
    <w:p w14:paraId="2BACE0A4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Izvođenje ili obavljanje bili kakvih aktivnosti koje izazivaju ili pospješuju eroziju tla</w:t>
      </w:r>
    </w:p>
    <w:p w14:paraId="2232C75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Iskopi u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vodonosnom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sloju,</w:t>
      </w:r>
    </w:p>
    <w:p w14:paraId="11167E06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Vađenje materijala iz vodotoka,</w:t>
      </w:r>
    </w:p>
    <w:p w14:paraId="26ED53BE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Izgradnja i rad kamenoloma i drugih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pozajmišta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materijala,</w:t>
      </w:r>
    </w:p>
    <w:p w14:paraId="79B27643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Minerski i drugi građevinski radovi koji nisu u funkciji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vodosnabdijevanja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, a koji mogu poremetiti kompoziciju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vodonosnih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slojeva,</w:t>
      </w:r>
    </w:p>
    <w:p w14:paraId="4E6FEB2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Izvođenje istražnih radova za, mineralne vode, kao i druge materije koje mogu ugroziti kvalitetu vode na izvorištu,</w:t>
      </w:r>
    </w:p>
    <w:p w14:paraId="369D89CB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Transformatorske stanice,</w:t>
      </w:r>
    </w:p>
    <w:p w14:paraId="54BBFAED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novih, korištenje ili proširenje postojećih groblja,</w:t>
      </w:r>
    </w:p>
    <w:p w14:paraId="4A962931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Izgradnja kanalizacije i drugih infrastrukturnih instalacija koje omogućuju redovno funkcioniranje objekata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vodozahvatnog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područja,</w:t>
      </w:r>
    </w:p>
    <w:p w14:paraId="7DB7277F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Ispuštanje nepročišćenih urbanih otpadnih voda,</w:t>
      </w:r>
    </w:p>
    <w:p w14:paraId="76732626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postrojenja za tretman urbanih otpadnih voda,</w:t>
      </w:r>
    </w:p>
    <w:p w14:paraId="3A8B791D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Odlaganje bilo kakvog čvrstog, građevinskog, komunalnog i drugog otpada,</w:t>
      </w:r>
    </w:p>
    <w:p w14:paraId="13B22A60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sanitarnih deponija,</w:t>
      </w:r>
    </w:p>
    <w:p w14:paraId="35105A60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postrojenja za tretman mulja u sastavu postrojenja za tretman otpadnih voda,</w:t>
      </w:r>
    </w:p>
    <w:p w14:paraId="4F67E2E0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postrojenja za tretman životinjskog otpada,</w:t>
      </w:r>
    </w:p>
    <w:p w14:paraId="5F778896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Podzemna eksploatacija mineralnih sirovina, izgradnja i rad objekata za deponiranje, mljevenje i preradu sirovina i jalovine,</w:t>
      </w:r>
    </w:p>
    <w:p w14:paraId="07BFBAD6" w14:textId="7BE162E5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Površinska eksploatacija mineralnih sirovina,</w:t>
      </w:r>
      <w:r w:rsidR="009559E5"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sz w:val="22"/>
          <w:szCs w:val="22"/>
          <w:lang w:val="hr-HR" w:eastAsia="en-US"/>
        </w:rPr>
        <w:t>izgradnja i rad objekata za deponiranje, mljevenje i preradu sirovina i jalovine,</w:t>
      </w:r>
    </w:p>
    <w:p w14:paraId="616F5D23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metalne industrije,</w:t>
      </w:r>
    </w:p>
    <w:p w14:paraId="0854E6CD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kemijske industrije,</w:t>
      </w:r>
    </w:p>
    <w:p w14:paraId="3C270D35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gumarske industrije,</w:t>
      </w:r>
    </w:p>
    <w:p w14:paraId="41326FB6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industrije papira i celuloze,</w:t>
      </w:r>
    </w:p>
    <w:p w14:paraId="46F48191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kožarske industrije,</w:t>
      </w:r>
    </w:p>
    <w:p w14:paraId="2D1B7975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prehrambene industrije,</w:t>
      </w:r>
    </w:p>
    <w:p w14:paraId="120F58EB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lastRenderedPageBreak/>
        <w:t>Skladištenje svih industrijskih sirovina i kemikalija opasnih za vodu,</w:t>
      </w:r>
    </w:p>
    <w:p w14:paraId="71D2F9EC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Deponije industrijskog otpada opasnog za kvalitete vode na izvorištu,</w:t>
      </w:r>
    </w:p>
    <w:p w14:paraId="45CAC8AC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industrijskih kanalizacijskih sistema,</w:t>
      </w:r>
    </w:p>
    <w:p w14:paraId="0F8144BB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postrojenja za tretman industrijskih otpadnih voda,</w:t>
      </w:r>
    </w:p>
    <w:p w14:paraId="6D367008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Ispuštanje ili akumuliranje neprečišćenih industrijskih otpadnih i rashladnih voda,</w:t>
      </w:r>
    </w:p>
    <w:p w14:paraId="5C74C24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autocesta i cesta rezerviranih za motorni saobraćaj,</w:t>
      </w:r>
    </w:p>
    <w:p w14:paraId="064E7391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depoa za teška vozila,</w:t>
      </w:r>
    </w:p>
    <w:p w14:paraId="0AB43D9F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autobusnih stanica i terminala,</w:t>
      </w:r>
    </w:p>
    <w:p w14:paraId="3FACBC3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željezničkih pruga, ranžiranih stanica i terminala,</w:t>
      </w:r>
    </w:p>
    <w:p w14:paraId="60BDD123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aerodroma ili poletno-sletnih staza za korištenje u zračnom saobraćaju,</w:t>
      </w:r>
    </w:p>
    <w:p w14:paraId="6D0D2446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cjevovoda za transport tekućina opasnih za kvalitetu vode,</w:t>
      </w:r>
    </w:p>
    <w:p w14:paraId="2C35753C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Cestovni transport kemikalija, tečnih goriva i drugih opasnih materija,</w:t>
      </w:r>
    </w:p>
    <w:p w14:paraId="19DF568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nadzemnih ili podzemnih spremnika,</w:t>
      </w:r>
    </w:p>
    <w:p w14:paraId="2807BA82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Izgradnja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pretakališta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>,</w:t>
      </w:r>
    </w:p>
    <w:p w14:paraId="4B8AE6E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benzinskih stanica uz prometnice,</w:t>
      </w:r>
    </w:p>
    <w:p w14:paraId="2AC9891C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Skladištenje ograničenih količina lož ulja ili pogonskog goriva za poljoprivredne strojeve za potrebe individualnih domaćinstava,</w:t>
      </w:r>
    </w:p>
    <w:p w14:paraId="109DB272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Intenzivna stočarska i peradarska proizvodnja,</w:t>
      </w:r>
    </w:p>
    <w:p w14:paraId="0CD36688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Deponiranje čvrstog ili tečnog stajnjaka za pojedinačna domaćinstva,</w:t>
      </w:r>
    </w:p>
    <w:p w14:paraId="25111BD7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Intenzivna ispaša stoke,</w:t>
      </w:r>
    </w:p>
    <w:p w14:paraId="1C65D5EF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Napajanje stoke iz površinskih vodotoka,</w:t>
      </w:r>
    </w:p>
    <w:p w14:paraId="09CCE89A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Skladištenje đubriva i pesticida,</w:t>
      </w:r>
    </w:p>
    <w:p w14:paraId="150406F5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Poljoprivredna proizvodnja praćena intenzivnim korištenjem vještačkih đubriva, stajnjaka, pesticide, herbicida i insekticida,</w:t>
      </w:r>
    </w:p>
    <w:p w14:paraId="568BA285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Navodnjavanje prečišćenim otpadnim vodama,</w:t>
      </w:r>
    </w:p>
    <w:p w14:paraId="45E6A707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Nekontrolirana sječa šume,</w:t>
      </w:r>
    </w:p>
    <w:p w14:paraId="3CA281CC" w14:textId="77777777" w:rsidR="00B12EE5" w:rsidRPr="008D4CEA" w:rsidRDefault="00B12EE5" w:rsidP="00B12EE5">
      <w:pPr>
        <w:numPr>
          <w:ilvl w:val="0"/>
          <w:numId w:val="6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Korištenje plovnih sredstava sa unutrašnjim sagorijevanjem.</w:t>
      </w:r>
    </w:p>
    <w:p w14:paraId="3FB60390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18.</w:t>
      </w:r>
    </w:p>
    <w:p w14:paraId="44B37857" w14:textId="63611517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Izuzetno od odredaba iz čl. 17. ove </w:t>
      </w:r>
      <w:r w:rsidR="000B6C3A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>dluke, na području II zaštitne zone dozvoljava se rad postojećih privrednih subjekata, te postojećih rekreacionih objekata nakon što se kroz usko specijalističku studiju utvrde načini rada i mjere sanacije negativnih uticaja na izvorište.</w:t>
      </w:r>
    </w:p>
    <w:p w14:paraId="341C70F5" w14:textId="5371453B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Privredni subjekti iz prethodnog stava ovog člana ne mogu proširivati vrstu i obim svoje djelatnosti na stanje zatečeno u trenutku donošenja ove </w:t>
      </w:r>
      <w:r w:rsidR="00F20B51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>dluke.</w:t>
      </w:r>
    </w:p>
    <w:p w14:paraId="42262831" w14:textId="4CB0DFFA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Privredni subjekti iz stava 1. ovog člana dužni su pridržavati se odredbi ove </w:t>
      </w:r>
      <w:r w:rsidR="00F20B51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>dluke i primjenjivati propisane mjere zaštite.</w:t>
      </w:r>
    </w:p>
    <w:p w14:paraId="4CE0BAB0" w14:textId="77777777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>U II zaštitnoj zoni trenutno ne egzistira ni jedan privredni subjekt.</w:t>
      </w:r>
    </w:p>
    <w:p w14:paraId="588A2D1C" w14:textId="77777777" w:rsidR="00B12EE5" w:rsidRPr="008D4CEA" w:rsidRDefault="00B12EE5" w:rsidP="00B12EE5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8D4CEA">
        <w:rPr>
          <w:rFonts w:eastAsia="Calibri"/>
          <w:b/>
          <w:bCs/>
          <w:sz w:val="22"/>
          <w:szCs w:val="22"/>
          <w:lang w:val="hr-HR" w:eastAsia="en-US"/>
        </w:rPr>
        <w:lastRenderedPageBreak/>
        <w:t>Član 19.</w:t>
      </w:r>
    </w:p>
    <w:p w14:paraId="47F15EA4" w14:textId="77777777" w:rsidR="00B12EE5" w:rsidRPr="008D4CEA" w:rsidRDefault="00B12EE5" w:rsidP="00B12EE5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Na području II zaštitne zone mogu ostati već postojeći stambeni i vikend objekti, kao i individualni objekti za uzgoj stoke i peradi.</w:t>
      </w:r>
    </w:p>
    <w:p w14:paraId="11C8A0C2" w14:textId="77777777" w:rsidR="00B12EE5" w:rsidRPr="008D4CEA" w:rsidRDefault="00B12EE5" w:rsidP="00B12EE5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Na objektima iz prethodnog stava dozvoljeni su radovi usmjereni na tekuće održavanje, a u skladu sa uslovima definisanim aktom o građenju,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izdatim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od strane nadležnog organa.</w:t>
      </w:r>
    </w:p>
    <w:p w14:paraId="58CBEA86" w14:textId="77777777" w:rsidR="00B12EE5" w:rsidRPr="008D4CEA" w:rsidRDefault="00B12EE5" w:rsidP="00B12EE5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Sanitarne otpadne vode iz objekata na području II zaštitne zone iz stava 1. ovog člana moraju se prikupljati i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transportovati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propisno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projektovanim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i izvedenim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kanalizacionim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sistemom.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Kanalizacioni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sistem mora biti vodonepropustan na području II zaštitne zone.</w:t>
      </w:r>
    </w:p>
    <w:p w14:paraId="21F0EB6D" w14:textId="77777777" w:rsidR="00B12EE5" w:rsidRPr="008D4CEA" w:rsidRDefault="00B12EE5" w:rsidP="00B12EE5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U slučajevima kada se ne vrši prečišćavanje prikupljenih sanitarnih otpadnih voda iz prethodnog stava ovog člana, sanitarne otpadne vode moraju se ispustiti izvan područja zaštitnih zona izvorišta "Komrani".</w:t>
      </w:r>
    </w:p>
    <w:p w14:paraId="328478C9" w14:textId="77777777" w:rsidR="00B12EE5" w:rsidRPr="008D4CEA" w:rsidRDefault="00B12EE5" w:rsidP="00B12EE5">
      <w:pPr>
        <w:spacing w:after="120" w:line="276" w:lineRule="auto"/>
        <w:ind w:left="426"/>
        <w:rPr>
          <w:rFonts w:eastAsia="Calibri"/>
          <w:sz w:val="22"/>
          <w:szCs w:val="22"/>
          <w:lang w:eastAsia="en-US"/>
        </w:rPr>
      </w:pPr>
    </w:p>
    <w:p w14:paraId="1F1A75BD" w14:textId="77777777" w:rsidR="00B12EE5" w:rsidRPr="008D4CEA" w:rsidRDefault="00B12EE5" w:rsidP="00B12EE5">
      <w:pPr>
        <w:keepNext/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III ZAŠTITNA ZONA –ZONA SA UMJERENIM ZABRANAMA I OGRANIČENJIMA</w:t>
      </w:r>
    </w:p>
    <w:p w14:paraId="55238869" w14:textId="77777777" w:rsidR="00B12EE5" w:rsidRPr="008D4CEA" w:rsidRDefault="00B12EE5" w:rsidP="00B12EE5">
      <w:pPr>
        <w:keepNext/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20.</w:t>
      </w:r>
    </w:p>
    <w:p w14:paraId="4F34F930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>III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obuhvata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prostor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od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vanjske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granice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druge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do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hidrogeolo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ke</w:t>
      </w:r>
      <w:r w:rsidRPr="008D4CEA">
        <w:rPr>
          <w:rFonts w:eastAsia="Calibri"/>
          <w:sz w:val="22"/>
          <w:szCs w:val="22"/>
          <w:lang w:eastAsia="en-US"/>
        </w:rPr>
        <w:t xml:space="preserve"> (</w:t>
      </w:r>
      <w:r w:rsidRPr="008D4CEA">
        <w:rPr>
          <w:rFonts w:eastAsia="Calibri"/>
          <w:sz w:val="22"/>
          <w:szCs w:val="22"/>
          <w:lang w:val="pl-PL" w:eastAsia="en-US"/>
        </w:rPr>
        <w:t>podzemne</w:t>
      </w:r>
      <w:r w:rsidRPr="008D4CEA">
        <w:rPr>
          <w:rFonts w:eastAsia="Calibri"/>
          <w:sz w:val="22"/>
          <w:szCs w:val="22"/>
          <w:lang w:eastAsia="en-US"/>
        </w:rPr>
        <w:t xml:space="preserve">) </w:t>
      </w:r>
      <w:r w:rsidRPr="008D4CEA">
        <w:rPr>
          <w:rFonts w:eastAsia="Calibri"/>
          <w:sz w:val="22"/>
          <w:szCs w:val="22"/>
          <w:lang w:val="pl-PL" w:eastAsia="en-US"/>
        </w:rPr>
        <w:t>vododijelnice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slivnog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podru</w:t>
      </w:r>
      <w:r w:rsidRPr="008D4CEA">
        <w:rPr>
          <w:rFonts w:eastAsia="Calibri"/>
          <w:sz w:val="22"/>
          <w:szCs w:val="22"/>
          <w:lang w:eastAsia="en-US"/>
        </w:rPr>
        <w:t>č</w:t>
      </w:r>
      <w:r w:rsidRPr="008D4CEA">
        <w:rPr>
          <w:rFonts w:eastAsia="Calibri"/>
          <w:sz w:val="22"/>
          <w:szCs w:val="22"/>
          <w:lang w:val="pl-PL" w:eastAsia="en-US"/>
        </w:rPr>
        <w:t>ja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izvori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ta</w:t>
      </w:r>
      <w:r w:rsidRPr="008D4CEA">
        <w:rPr>
          <w:rFonts w:eastAsia="Calibri"/>
          <w:sz w:val="22"/>
          <w:szCs w:val="22"/>
          <w:lang w:eastAsia="en-US"/>
        </w:rPr>
        <w:t xml:space="preserve"> “</w:t>
      </w:r>
      <w:r w:rsidRPr="008D4CEA">
        <w:rPr>
          <w:rFonts w:eastAsia="Calibri"/>
          <w:sz w:val="22"/>
          <w:szCs w:val="22"/>
          <w:lang w:val="pl-PL" w:eastAsia="en-US"/>
        </w:rPr>
        <w:t>Komrani</w:t>
      </w:r>
      <w:r w:rsidRPr="008D4CEA">
        <w:rPr>
          <w:rFonts w:eastAsia="Calibri"/>
          <w:sz w:val="22"/>
          <w:szCs w:val="22"/>
          <w:lang w:eastAsia="en-US"/>
        </w:rPr>
        <w:t xml:space="preserve">”.   </w:t>
      </w:r>
    </w:p>
    <w:p w14:paraId="3E48867F" w14:textId="217001AC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>Granica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="00A2300E" w:rsidRPr="008D4CEA">
        <w:rPr>
          <w:rFonts w:eastAsia="Calibri"/>
          <w:sz w:val="22"/>
          <w:szCs w:val="22"/>
          <w:lang w:eastAsia="en-US"/>
        </w:rPr>
        <w:t>III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za</w:t>
      </w:r>
      <w:r w:rsidRPr="008D4CEA">
        <w:rPr>
          <w:rFonts w:eastAsia="Calibri"/>
          <w:sz w:val="22"/>
          <w:szCs w:val="22"/>
          <w:lang w:eastAsia="en-US"/>
        </w:rPr>
        <w:t>š</w:t>
      </w:r>
      <w:r w:rsidRPr="008D4CEA">
        <w:rPr>
          <w:rFonts w:eastAsia="Calibri"/>
          <w:sz w:val="22"/>
          <w:szCs w:val="22"/>
          <w:lang w:val="pl-PL" w:eastAsia="en-US"/>
        </w:rPr>
        <w:t>titne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zone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se</w:t>
      </w:r>
      <w:r w:rsidRPr="008D4CEA">
        <w:rPr>
          <w:rFonts w:eastAsia="Calibri"/>
          <w:sz w:val="22"/>
          <w:szCs w:val="22"/>
          <w:lang w:eastAsia="en-US"/>
        </w:rPr>
        <w:t xml:space="preserve"> </w:t>
      </w:r>
      <w:r w:rsidRPr="008D4CEA">
        <w:rPr>
          <w:rFonts w:eastAsia="Calibri"/>
          <w:sz w:val="22"/>
          <w:szCs w:val="22"/>
          <w:lang w:val="pl-PL" w:eastAsia="en-US"/>
        </w:rPr>
        <w:t>na</w:t>
      </w:r>
      <w:r w:rsidRPr="008D4CEA">
        <w:rPr>
          <w:rFonts w:eastAsia="Calibri"/>
          <w:sz w:val="22"/>
          <w:szCs w:val="22"/>
          <w:lang w:eastAsia="en-US"/>
        </w:rPr>
        <w:t xml:space="preserve"> jugozapadu pruža od izvora “Komrani” jugozapadnim padinama brda </w:t>
      </w:r>
      <w:r w:rsidR="006745DF" w:rsidRPr="008D4CEA">
        <w:rPr>
          <w:rFonts w:eastAsia="Calibri"/>
          <w:sz w:val="22"/>
          <w:szCs w:val="22"/>
          <w:lang w:eastAsia="en-US"/>
        </w:rPr>
        <w:t>C</w:t>
      </w:r>
      <w:r w:rsidRPr="008D4CEA">
        <w:rPr>
          <w:rFonts w:eastAsia="Calibri"/>
          <w:sz w:val="22"/>
          <w:szCs w:val="22"/>
          <w:lang w:eastAsia="en-US"/>
        </w:rPr>
        <w:t xml:space="preserve">erice kotom 1150 sve do iznad </w:t>
      </w:r>
      <w:r w:rsidR="006745DF" w:rsidRPr="008D4CEA">
        <w:rPr>
          <w:rFonts w:eastAsia="Calibri"/>
          <w:sz w:val="22"/>
          <w:szCs w:val="22"/>
          <w:lang w:eastAsia="en-US"/>
        </w:rPr>
        <w:t>C</w:t>
      </w:r>
      <w:r w:rsidRPr="008D4CEA">
        <w:rPr>
          <w:rFonts w:eastAsia="Calibri"/>
          <w:sz w:val="22"/>
          <w:szCs w:val="22"/>
          <w:lang w:eastAsia="en-US"/>
        </w:rPr>
        <w:t>erice odakle povija ka sjeveroistoku putem do sela Pogled i kote (k.1.119). Od sela Pogled povija ka jugoistoku do nekropole stećaka odakle nastavlja izohipsom 1.025 do doline potoka Zastava i izvora “Komrani”.</w:t>
      </w:r>
    </w:p>
    <w:p w14:paraId="7F5C8ABA" w14:textId="2CECE39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val="pl-PL"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 xml:space="preserve">Površina </w:t>
      </w:r>
      <w:r w:rsidR="00A2300E" w:rsidRPr="008D4CEA">
        <w:rPr>
          <w:rFonts w:eastAsia="Calibri"/>
          <w:sz w:val="22"/>
          <w:szCs w:val="22"/>
          <w:lang w:val="pl-PL" w:eastAsia="en-US"/>
        </w:rPr>
        <w:t xml:space="preserve">III </w:t>
      </w:r>
      <w:r w:rsidRPr="008D4CEA">
        <w:rPr>
          <w:rFonts w:eastAsia="Calibri"/>
          <w:sz w:val="22"/>
          <w:szCs w:val="22"/>
          <w:lang w:val="pl-PL" w:eastAsia="en-US"/>
        </w:rPr>
        <w:t>zaštitne zone izvorišta “Komrani” je oko 0,69 km</w:t>
      </w:r>
      <w:r w:rsidRPr="008D4CEA">
        <w:rPr>
          <w:rFonts w:eastAsia="Calibri"/>
          <w:sz w:val="22"/>
          <w:szCs w:val="22"/>
          <w:vertAlign w:val="superscript"/>
          <w:lang w:val="pl-PL" w:eastAsia="en-US"/>
        </w:rPr>
        <w:t>2</w:t>
      </w:r>
      <w:r w:rsidRPr="008D4CEA">
        <w:rPr>
          <w:rFonts w:eastAsia="Calibri"/>
          <w:sz w:val="22"/>
          <w:szCs w:val="22"/>
          <w:lang w:val="pl-PL" w:eastAsia="en-US"/>
        </w:rPr>
        <w:t xml:space="preserve">. </w:t>
      </w:r>
    </w:p>
    <w:p w14:paraId="1C43048C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  <w:r w:rsidRPr="008D4CEA">
        <w:rPr>
          <w:rFonts w:eastAsia="Calibri"/>
          <w:sz w:val="22"/>
          <w:szCs w:val="22"/>
          <w:lang w:val="pl-PL" w:eastAsia="en-US"/>
        </w:rPr>
        <w:t xml:space="preserve">III zaštitna zona </w:t>
      </w:r>
      <w:r w:rsidRPr="008D4CEA">
        <w:rPr>
          <w:rFonts w:eastAsia="Calibri"/>
          <w:sz w:val="22"/>
          <w:szCs w:val="22"/>
          <w:lang w:val="hr-HR" w:eastAsia="en-US"/>
        </w:rPr>
        <w:t xml:space="preserve">izvorišta </w:t>
      </w:r>
      <w:r w:rsidRPr="008D4CEA">
        <w:rPr>
          <w:rFonts w:eastAsia="Calibri"/>
          <w:sz w:val="22"/>
          <w:szCs w:val="22"/>
          <w:lang w:eastAsia="en-US"/>
        </w:rPr>
        <w:t xml:space="preserve">“Komrani” </w:t>
      </w:r>
      <w:r w:rsidRPr="008D4CEA">
        <w:rPr>
          <w:rFonts w:eastAsia="Calibri"/>
          <w:sz w:val="22"/>
          <w:szCs w:val="22"/>
          <w:lang w:val="pl-PL" w:eastAsia="en-US"/>
        </w:rPr>
        <w:t>predstavlja zonu sa umjerenim zabranama i ograničenjima.</w:t>
      </w:r>
    </w:p>
    <w:p w14:paraId="521235D1" w14:textId="46F3546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8D4CEA">
        <w:rPr>
          <w:rFonts w:eastAsia="Calibri"/>
          <w:b/>
          <w:bCs/>
          <w:sz w:val="22"/>
          <w:szCs w:val="22"/>
          <w:lang w:eastAsia="en-US"/>
        </w:rPr>
        <w:t>Član 21.</w:t>
      </w:r>
    </w:p>
    <w:p w14:paraId="1FA76D4B" w14:textId="77777777" w:rsidR="00B12EE5" w:rsidRPr="008D4CEA" w:rsidRDefault="00B12EE5" w:rsidP="00B12EE5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Na području III zaštitne zone izvorišta zabranjuje se izvođenje radova, izgradnja objekata i obavljanje aktivnosti kojima se mogu zagaditi vode, a naročito:</w:t>
      </w:r>
    </w:p>
    <w:p w14:paraId="75188BF7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Iskopi u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vodonosnom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sloju,</w:t>
      </w:r>
    </w:p>
    <w:p w14:paraId="49BE8C00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Izgradnja i rad kamenoloma i drugih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pozajmišta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materijala,</w:t>
      </w:r>
    </w:p>
    <w:p w14:paraId="2E0DACD9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Minerski i drugi građevinski radovi koji nisu u funkciji vodo-snabdijevanja, a koji mogu poremetiti kompoziciju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vodonosnih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slojeva,</w:t>
      </w:r>
    </w:p>
    <w:p w14:paraId="5DACDA4C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Manevarski i vojni poligoni,</w:t>
      </w:r>
    </w:p>
    <w:p w14:paraId="4B3F6ACD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Ispuštanje nepročišćenih urbanih otpadnih voda,</w:t>
      </w:r>
    </w:p>
    <w:p w14:paraId="5AF12877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Odlaganje bilo kakvog čvrstog, građevinskog, komunalnog i drugog otpad,</w:t>
      </w:r>
    </w:p>
    <w:p w14:paraId="70AA4FF1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sanitarnih deponija,</w:t>
      </w:r>
    </w:p>
    <w:p w14:paraId="50C9D446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Izvođenje istražnih i eksploatacijskih bušotina za naftu i zemni gas,</w:t>
      </w:r>
    </w:p>
    <w:p w14:paraId="69E167DB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Izvođenje istražnih radova i eksploatacija radioaktivnih tvari,</w:t>
      </w:r>
    </w:p>
    <w:p w14:paraId="075A2204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Rafinerije,</w:t>
      </w:r>
    </w:p>
    <w:p w14:paraId="27D7A4AF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Pogoni kemijske industrije,</w:t>
      </w:r>
    </w:p>
    <w:p w14:paraId="16D58E04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Nuklearne elektrane,</w:t>
      </w:r>
    </w:p>
    <w:p w14:paraId="19B5EB06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Skladištenje industrijskih sirovina i kemikalija opasnih za vodu,</w:t>
      </w:r>
    </w:p>
    <w:p w14:paraId="7306082A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Skladištenje i deponiranje radio-aktivnih tvari i otpada,</w:t>
      </w:r>
    </w:p>
    <w:p w14:paraId="49741BEF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Deponije industrijskog otpada opasnog za kvalitete vode na izvorištu,</w:t>
      </w:r>
    </w:p>
    <w:p w14:paraId="0660703A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Ispuštanje ili akumuliranje neprečišćenih industrijskih otpadnih i rashladnih voda,</w:t>
      </w:r>
    </w:p>
    <w:p w14:paraId="3CBE10BA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depoa za teška vozila,</w:t>
      </w:r>
    </w:p>
    <w:p w14:paraId="62947720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aerodroma ili poletno-sletnih staza za korištenje u zračnom saobraćaju,</w:t>
      </w:r>
    </w:p>
    <w:p w14:paraId="74AAF25E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Izgradnja i rad cjevovoda za transport tekućina opasnih za kvalitetu vode,</w:t>
      </w:r>
    </w:p>
    <w:p w14:paraId="5D2107FE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Nadzemni ili podzemni spremnici,</w:t>
      </w:r>
    </w:p>
    <w:p w14:paraId="573C8140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proofErr w:type="spellStart"/>
      <w:r w:rsidRPr="008D4CEA">
        <w:rPr>
          <w:rFonts w:eastAsia="Calibri"/>
          <w:sz w:val="22"/>
          <w:szCs w:val="22"/>
          <w:lang w:val="hr-HR" w:eastAsia="en-US"/>
        </w:rPr>
        <w:lastRenderedPageBreak/>
        <w:t>Pretakališta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>,</w:t>
      </w:r>
    </w:p>
    <w:p w14:paraId="47375642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Skladištenje đubriva i pesticida,</w:t>
      </w:r>
    </w:p>
    <w:p w14:paraId="30F4EBEF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Poljoprivredna proizvodnja praćena intenzivnim korištenjem vještačkih, đubriva, stajnjaka, pesticide, herbicida i insekticida,</w:t>
      </w:r>
    </w:p>
    <w:p w14:paraId="3F0BEE04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Navodnjavanje prečišćenim otpadnim vodama,</w:t>
      </w:r>
    </w:p>
    <w:p w14:paraId="47B6E027" w14:textId="77777777" w:rsidR="00B12EE5" w:rsidRPr="008D4CEA" w:rsidRDefault="00B12EE5" w:rsidP="008D4CEA">
      <w:pPr>
        <w:numPr>
          <w:ilvl w:val="1"/>
          <w:numId w:val="7"/>
        </w:numPr>
        <w:spacing w:line="276" w:lineRule="auto"/>
        <w:ind w:left="709" w:hanging="283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Nekontrolirana sječa i krčenje šume.</w:t>
      </w:r>
    </w:p>
    <w:p w14:paraId="4DC203B2" w14:textId="77777777" w:rsidR="00B12EE5" w:rsidRPr="008D4CEA" w:rsidRDefault="00B12EE5" w:rsidP="00B12EE5">
      <w:pPr>
        <w:spacing w:after="120" w:line="276" w:lineRule="auto"/>
        <w:rPr>
          <w:rFonts w:eastAsia="Calibri"/>
          <w:sz w:val="22"/>
          <w:szCs w:val="22"/>
          <w:lang w:eastAsia="en-US"/>
        </w:rPr>
      </w:pPr>
    </w:p>
    <w:p w14:paraId="2714A11A" w14:textId="61FA2B8C" w:rsidR="00B12EE5" w:rsidRPr="008D4CEA" w:rsidRDefault="002A46CA" w:rsidP="002A46CA">
      <w:pPr>
        <w:spacing w:after="200" w:line="276" w:lineRule="auto"/>
        <w:ind w:left="540"/>
        <w:rPr>
          <w:rFonts w:eastAsia="Calibri"/>
          <w:b/>
          <w:sz w:val="22"/>
          <w:szCs w:val="22"/>
          <w:lang w:val="hr-HR" w:eastAsia="en-US"/>
        </w:rPr>
      </w:pPr>
      <w:r w:rsidRPr="008D4CEA">
        <w:rPr>
          <w:rFonts w:eastAsia="Calibri"/>
          <w:b/>
          <w:sz w:val="22"/>
          <w:szCs w:val="22"/>
          <w:lang w:val="hr-HR" w:eastAsia="en-US"/>
        </w:rPr>
        <w:t>3.</w:t>
      </w:r>
      <w:r w:rsidR="00B12EE5" w:rsidRPr="008D4CEA">
        <w:rPr>
          <w:rFonts w:eastAsia="Calibri"/>
          <w:b/>
          <w:sz w:val="22"/>
          <w:szCs w:val="22"/>
          <w:lang w:val="hr-HR" w:eastAsia="en-US"/>
        </w:rPr>
        <w:t xml:space="preserve"> </w:t>
      </w:r>
      <w:r w:rsidRPr="008D4CEA">
        <w:rPr>
          <w:rFonts w:eastAsia="Calibri"/>
          <w:b/>
          <w:sz w:val="22"/>
          <w:szCs w:val="22"/>
          <w:lang w:val="hr-HR" w:eastAsia="en-US"/>
        </w:rPr>
        <w:t xml:space="preserve"> </w:t>
      </w:r>
      <w:r w:rsidR="00B12EE5" w:rsidRPr="008D4CEA">
        <w:rPr>
          <w:rFonts w:eastAsia="Calibri"/>
          <w:b/>
          <w:sz w:val="22"/>
          <w:szCs w:val="22"/>
          <w:lang w:val="hr-HR" w:eastAsia="en-US"/>
        </w:rPr>
        <w:t>IZVORI I NAČIN FINANSIRANJA</w:t>
      </w:r>
    </w:p>
    <w:p w14:paraId="5D752953" w14:textId="77777777" w:rsidR="00B12EE5" w:rsidRPr="008D4CEA" w:rsidRDefault="00B12EE5" w:rsidP="00B12EE5">
      <w:pPr>
        <w:spacing w:after="20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8D4CEA">
        <w:rPr>
          <w:rFonts w:eastAsia="Calibri"/>
          <w:b/>
          <w:bCs/>
          <w:sz w:val="22"/>
          <w:szCs w:val="22"/>
          <w:lang w:val="hr-HR" w:eastAsia="en-US"/>
        </w:rPr>
        <w:t>Član 22.</w:t>
      </w:r>
    </w:p>
    <w:p w14:paraId="72BF4EE8" w14:textId="1D714D8B" w:rsidR="00B12EE5" w:rsidRPr="008D4CEA" w:rsidRDefault="00B12EE5" w:rsidP="00B12EE5">
      <w:pPr>
        <w:spacing w:after="20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Sredstva potrebna za finansiranje provođenja ove odluke se </w:t>
      </w:r>
      <w:proofErr w:type="spellStart"/>
      <w:r w:rsidRPr="008D4CEA">
        <w:rPr>
          <w:rFonts w:eastAsia="Calibri"/>
          <w:sz w:val="22"/>
          <w:szCs w:val="22"/>
          <w:lang w:val="hr-HR" w:eastAsia="en-US"/>
        </w:rPr>
        <w:t>obezbijeđuju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i planiraju  budžetom </w:t>
      </w:r>
      <w:r w:rsidR="00450559" w:rsidRPr="008D4CEA">
        <w:rPr>
          <w:rFonts w:eastAsia="Calibri"/>
          <w:sz w:val="22"/>
          <w:szCs w:val="22"/>
          <w:lang w:val="hr-HR" w:eastAsia="en-US"/>
        </w:rPr>
        <w:t>O</w:t>
      </w:r>
      <w:r w:rsidRPr="008D4CEA">
        <w:rPr>
          <w:rFonts w:eastAsia="Calibri"/>
          <w:sz w:val="22"/>
          <w:szCs w:val="22"/>
          <w:lang w:val="hr-HR" w:eastAsia="en-US"/>
        </w:rPr>
        <w:t>pćine Pale.</w:t>
      </w:r>
    </w:p>
    <w:p w14:paraId="304320DB" w14:textId="77777777" w:rsidR="00B12EE5" w:rsidRPr="008D4CEA" w:rsidRDefault="00B12EE5" w:rsidP="00B12EE5">
      <w:pPr>
        <w:spacing w:after="200" w:line="276" w:lineRule="auto"/>
        <w:rPr>
          <w:rFonts w:eastAsia="Calibri"/>
          <w:sz w:val="22"/>
          <w:szCs w:val="22"/>
          <w:lang w:val="hr-HR" w:eastAsia="en-US"/>
        </w:rPr>
      </w:pPr>
    </w:p>
    <w:p w14:paraId="1A502DBB" w14:textId="05294135" w:rsidR="00B12EE5" w:rsidRPr="008D4CEA" w:rsidRDefault="00B12EE5" w:rsidP="002A46CA">
      <w:pPr>
        <w:pStyle w:val="ListParagraph"/>
        <w:numPr>
          <w:ilvl w:val="0"/>
          <w:numId w:val="3"/>
        </w:numPr>
        <w:spacing w:after="120" w:line="276" w:lineRule="auto"/>
        <w:rPr>
          <w:rFonts w:eastAsia="Calibri"/>
          <w:b/>
          <w:bCs/>
          <w:sz w:val="22"/>
          <w:szCs w:val="22"/>
          <w:lang w:val="hr-HR" w:eastAsia="en-US"/>
        </w:rPr>
      </w:pPr>
      <w:r w:rsidRPr="008D4CEA">
        <w:rPr>
          <w:rFonts w:eastAsia="Calibri"/>
          <w:b/>
          <w:bCs/>
          <w:sz w:val="22"/>
          <w:szCs w:val="22"/>
          <w:lang w:val="hr-HR" w:eastAsia="en-US"/>
        </w:rPr>
        <w:t xml:space="preserve">   NAZIV ORGANA I PRAVNIH LICA NADLEŽNIH ZA  PROVOĐENJE ODLUKE</w:t>
      </w:r>
    </w:p>
    <w:p w14:paraId="10F70CF1" w14:textId="77777777" w:rsidR="00B12EE5" w:rsidRPr="008D4CEA" w:rsidRDefault="00B12EE5" w:rsidP="00B12EE5">
      <w:pPr>
        <w:spacing w:after="120" w:line="276" w:lineRule="auto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8D4CEA">
        <w:rPr>
          <w:rFonts w:eastAsia="Calibri"/>
          <w:b/>
          <w:bCs/>
          <w:sz w:val="22"/>
          <w:szCs w:val="22"/>
          <w:lang w:val="hr-HR" w:eastAsia="en-US"/>
        </w:rPr>
        <w:t>Član 23.</w:t>
      </w:r>
    </w:p>
    <w:p w14:paraId="2ECA6EAA" w14:textId="72EE41C2" w:rsidR="00B41411" w:rsidRPr="008D4CEA" w:rsidRDefault="00B12EE5" w:rsidP="00B41411">
      <w:pPr>
        <w:spacing w:line="276" w:lineRule="auto"/>
        <w:rPr>
          <w:rFonts w:eastAsia="Calibri"/>
          <w:sz w:val="22"/>
          <w:szCs w:val="22"/>
          <w:lang w:val="hr-HR" w:eastAsia="en-US"/>
        </w:rPr>
      </w:pPr>
      <w:bookmarkStart w:id="2" w:name="_Hlk190934586"/>
      <w:r w:rsidRPr="008D4CEA">
        <w:rPr>
          <w:rFonts w:eastAsia="Calibri"/>
          <w:sz w:val="22"/>
          <w:szCs w:val="22"/>
          <w:lang w:val="hr-HR" w:eastAsia="en-US"/>
        </w:rPr>
        <w:t xml:space="preserve">Organi nadležni za provođenje ove </w:t>
      </w:r>
      <w:r w:rsidR="001F3A11" w:rsidRPr="008D4CEA">
        <w:rPr>
          <w:rFonts w:eastAsia="Calibri"/>
          <w:sz w:val="22"/>
          <w:szCs w:val="22"/>
          <w:lang w:val="hr-HR" w:eastAsia="en-US"/>
        </w:rPr>
        <w:t>O</w:t>
      </w:r>
      <w:r w:rsidRPr="008D4CEA">
        <w:rPr>
          <w:rFonts w:eastAsia="Calibri"/>
          <w:sz w:val="22"/>
          <w:szCs w:val="22"/>
          <w:lang w:val="hr-HR" w:eastAsia="en-US"/>
        </w:rPr>
        <w:t xml:space="preserve">dluke </w:t>
      </w:r>
      <w:r w:rsidR="00573E08" w:rsidRPr="008D4CEA">
        <w:rPr>
          <w:rFonts w:eastAsia="Calibri"/>
          <w:sz w:val="22"/>
          <w:szCs w:val="22"/>
          <w:lang w:val="hr-HR" w:eastAsia="en-US"/>
        </w:rPr>
        <w:t>su</w:t>
      </w:r>
      <w:r w:rsidRPr="008D4CEA">
        <w:rPr>
          <w:rFonts w:eastAsia="Calibri"/>
          <w:sz w:val="22"/>
          <w:szCs w:val="22"/>
          <w:lang w:val="hr-HR" w:eastAsia="en-US"/>
        </w:rPr>
        <w:t xml:space="preserve"> općinsk</w:t>
      </w:r>
      <w:r w:rsidR="00481F82" w:rsidRPr="008D4CEA">
        <w:rPr>
          <w:rFonts w:eastAsia="Calibri"/>
          <w:sz w:val="22"/>
          <w:szCs w:val="22"/>
          <w:lang w:val="hr-HR" w:eastAsia="en-US"/>
        </w:rPr>
        <w:t>a</w:t>
      </w:r>
      <w:r w:rsidRPr="008D4CEA">
        <w:rPr>
          <w:rFonts w:eastAsia="Calibri"/>
          <w:sz w:val="22"/>
          <w:szCs w:val="22"/>
          <w:lang w:val="hr-HR" w:eastAsia="en-US"/>
        </w:rPr>
        <w:t xml:space="preserve"> </w:t>
      </w:r>
      <w:r w:rsidR="00481F82" w:rsidRPr="008D4CEA">
        <w:rPr>
          <w:rFonts w:eastAsia="Calibri"/>
          <w:sz w:val="22"/>
          <w:szCs w:val="22"/>
          <w:lang w:val="hr-HR" w:eastAsia="en-US"/>
        </w:rPr>
        <w:t>služba</w:t>
      </w:r>
      <w:r w:rsidRPr="008D4CEA">
        <w:rPr>
          <w:rFonts w:eastAsia="Calibri"/>
          <w:sz w:val="22"/>
          <w:szCs w:val="22"/>
          <w:lang w:val="hr-HR" w:eastAsia="en-US"/>
        </w:rPr>
        <w:t xml:space="preserve"> nadležn</w:t>
      </w:r>
      <w:r w:rsidR="00481F82" w:rsidRPr="008D4CEA">
        <w:rPr>
          <w:rFonts w:eastAsia="Calibri"/>
          <w:sz w:val="22"/>
          <w:szCs w:val="22"/>
          <w:lang w:val="hr-HR" w:eastAsia="en-US"/>
        </w:rPr>
        <w:t>a</w:t>
      </w:r>
      <w:r w:rsidRPr="008D4CEA">
        <w:rPr>
          <w:rFonts w:eastAsia="Calibri"/>
          <w:sz w:val="22"/>
          <w:szCs w:val="22"/>
          <w:lang w:val="hr-HR" w:eastAsia="en-US"/>
        </w:rPr>
        <w:t xml:space="preserve"> za vode </w:t>
      </w:r>
      <w:r w:rsidR="00450559" w:rsidRPr="008D4CEA">
        <w:rPr>
          <w:rFonts w:eastAsia="Calibri"/>
          <w:sz w:val="22"/>
          <w:szCs w:val="22"/>
          <w:lang w:val="hr-HR" w:eastAsia="en-US"/>
        </w:rPr>
        <w:t>O</w:t>
      </w:r>
      <w:r w:rsidRPr="008D4CEA">
        <w:rPr>
          <w:rFonts w:eastAsia="Calibri"/>
          <w:sz w:val="22"/>
          <w:szCs w:val="22"/>
          <w:lang w:val="hr-HR" w:eastAsia="en-US"/>
        </w:rPr>
        <w:t xml:space="preserve">pćine Pale odnosno JKP «Prača» </w:t>
      </w:r>
      <w:r w:rsidRPr="008D4CEA">
        <w:rPr>
          <w:rFonts w:eastAsia="Calibri"/>
          <w:iCs/>
          <w:sz w:val="22"/>
          <w:szCs w:val="22"/>
          <w:lang w:val="hr-HR" w:eastAsia="en-US"/>
        </w:rPr>
        <w:t xml:space="preserve">nadležno za </w:t>
      </w:r>
      <w:proofErr w:type="spellStart"/>
      <w:r w:rsidRPr="008D4CEA">
        <w:rPr>
          <w:rFonts w:eastAsia="Calibri"/>
          <w:iCs/>
          <w:sz w:val="22"/>
          <w:szCs w:val="22"/>
          <w:lang w:val="hr-HR" w:eastAsia="en-US"/>
        </w:rPr>
        <w:t>vodosnad</w:t>
      </w:r>
      <w:r w:rsidR="00481F82" w:rsidRPr="008D4CEA">
        <w:rPr>
          <w:rFonts w:eastAsia="Calibri"/>
          <w:iCs/>
          <w:sz w:val="22"/>
          <w:szCs w:val="22"/>
          <w:lang w:val="hr-HR" w:eastAsia="en-US"/>
        </w:rPr>
        <w:t>b</w:t>
      </w:r>
      <w:r w:rsidRPr="008D4CEA">
        <w:rPr>
          <w:rFonts w:eastAsia="Calibri"/>
          <w:iCs/>
          <w:sz w:val="22"/>
          <w:szCs w:val="22"/>
          <w:lang w:val="hr-HR" w:eastAsia="en-US"/>
        </w:rPr>
        <w:t>ijevanje</w:t>
      </w:r>
      <w:proofErr w:type="spellEnd"/>
      <w:r w:rsidRPr="008D4CEA">
        <w:rPr>
          <w:rFonts w:eastAsia="Calibri"/>
          <w:sz w:val="22"/>
          <w:szCs w:val="22"/>
          <w:lang w:val="hr-HR" w:eastAsia="en-US"/>
        </w:rPr>
        <w:t xml:space="preserve"> za područje </w:t>
      </w:r>
      <w:r w:rsidR="00573E08" w:rsidRPr="008D4CEA">
        <w:rPr>
          <w:rFonts w:eastAsia="Calibri"/>
          <w:sz w:val="22"/>
          <w:szCs w:val="22"/>
          <w:lang w:val="hr-HR" w:eastAsia="en-US"/>
        </w:rPr>
        <w:t>O</w:t>
      </w:r>
      <w:r w:rsidRPr="008D4CEA">
        <w:rPr>
          <w:rFonts w:eastAsia="Calibri"/>
          <w:sz w:val="22"/>
          <w:szCs w:val="22"/>
          <w:lang w:val="hr-HR" w:eastAsia="en-US"/>
        </w:rPr>
        <w:t>pćine Pale</w:t>
      </w:r>
    </w:p>
    <w:bookmarkEnd w:id="2"/>
    <w:p w14:paraId="669FF142" w14:textId="77777777" w:rsidR="00B41411" w:rsidRPr="008D4CEA" w:rsidRDefault="00B41411" w:rsidP="00B41411">
      <w:pPr>
        <w:spacing w:line="276" w:lineRule="auto"/>
        <w:rPr>
          <w:rFonts w:eastAsia="Calibri"/>
          <w:sz w:val="22"/>
          <w:szCs w:val="22"/>
          <w:lang w:val="hr-HR" w:eastAsia="en-US"/>
        </w:rPr>
      </w:pPr>
    </w:p>
    <w:p w14:paraId="1AEAC7A3" w14:textId="11BF51BB" w:rsidR="00B12EE5" w:rsidRPr="008D4CEA" w:rsidRDefault="00B12EE5" w:rsidP="002A46CA">
      <w:pPr>
        <w:pStyle w:val="ListParagraph"/>
        <w:numPr>
          <w:ilvl w:val="0"/>
          <w:numId w:val="3"/>
        </w:numPr>
        <w:spacing w:after="120" w:line="276" w:lineRule="auto"/>
        <w:rPr>
          <w:b/>
          <w:sz w:val="22"/>
          <w:szCs w:val="22"/>
        </w:rPr>
      </w:pPr>
      <w:r w:rsidRPr="008D4CEA">
        <w:rPr>
          <w:b/>
          <w:sz w:val="22"/>
          <w:szCs w:val="22"/>
        </w:rPr>
        <w:t xml:space="preserve">    USPOSTAVA POSEBNE  KONTROLE</w:t>
      </w:r>
    </w:p>
    <w:p w14:paraId="3BF96938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24.</w:t>
      </w:r>
    </w:p>
    <w:p w14:paraId="6A465B3D" w14:textId="77777777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>Pošto se radi o specifičnom i relativno malom slivu na kome je nemoguće uspostaviti sve tri zone sanitarne zaštite shodno Pravilniku</w:t>
      </w:r>
      <w:r w:rsidRPr="008D4CEA">
        <w:rPr>
          <w:sz w:val="22"/>
          <w:szCs w:val="22"/>
        </w:rPr>
        <w:t xml:space="preserve"> </w:t>
      </w:r>
      <w:r w:rsidRPr="008D4CEA">
        <w:rPr>
          <w:sz w:val="22"/>
          <w:szCs w:val="22"/>
          <w:lang w:val="hr-HR"/>
        </w:rPr>
        <w:t xml:space="preserve">o načinu utvrđivanja uslova za određivanje zona sanitarne zaštite i zaštitnih mjera za izvorišta vode za javno </w:t>
      </w:r>
      <w:proofErr w:type="spellStart"/>
      <w:r w:rsidRPr="008D4CEA">
        <w:rPr>
          <w:sz w:val="22"/>
          <w:szCs w:val="22"/>
          <w:lang w:val="hr-HR"/>
        </w:rPr>
        <w:t>vodosnabdijevanje</w:t>
      </w:r>
      <w:proofErr w:type="spellEnd"/>
      <w:r w:rsidRPr="008D4CEA">
        <w:rPr>
          <w:sz w:val="22"/>
          <w:szCs w:val="22"/>
          <w:lang w:val="hr-HR"/>
        </w:rPr>
        <w:t xml:space="preserve"> stanovništva ("Službene novine Federacije BiH", broj: 88/12), pa je u cilju održavanja kvaliteta voda na izvorištu "Komrani" potrebno uspostaviti sistem praćenja promjena na slivu koje se ogledaju u:</w:t>
      </w:r>
    </w:p>
    <w:p w14:paraId="28272175" w14:textId="77777777" w:rsidR="00B12EE5" w:rsidRPr="008D4CEA" w:rsidRDefault="00B12EE5" w:rsidP="00B12EE5">
      <w:pPr>
        <w:numPr>
          <w:ilvl w:val="0"/>
          <w:numId w:val="5"/>
        </w:num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>Uspostava sistema monitoringa kvaliteta na slivnom području;</w:t>
      </w:r>
    </w:p>
    <w:p w14:paraId="003B475F" w14:textId="77777777" w:rsidR="00B12EE5" w:rsidRPr="008D4CEA" w:rsidRDefault="00B12EE5" w:rsidP="00B12EE5">
      <w:pPr>
        <w:numPr>
          <w:ilvl w:val="0"/>
          <w:numId w:val="5"/>
        </w:num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>Redovne inspekcijske kontrole na slivu.</w:t>
      </w:r>
    </w:p>
    <w:p w14:paraId="44471E81" w14:textId="77777777" w:rsidR="0098490F" w:rsidRPr="008D4CEA" w:rsidRDefault="0098490F" w:rsidP="00B12EE5">
      <w:pPr>
        <w:spacing w:after="120" w:line="276" w:lineRule="auto"/>
        <w:ind w:left="1830"/>
        <w:rPr>
          <w:sz w:val="22"/>
          <w:szCs w:val="22"/>
          <w:lang w:val="hr-HR"/>
        </w:rPr>
      </w:pPr>
    </w:p>
    <w:p w14:paraId="776A0C4F" w14:textId="667A15BD" w:rsidR="00B12EE5" w:rsidRPr="008D4CEA" w:rsidRDefault="00B12EE5" w:rsidP="002A46CA">
      <w:pPr>
        <w:pStyle w:val="ListParagraph"/>
        <w:numPr>
          <w:ilvl w:val="0"/>
          <w:numId w:val="3"/>
        </w:numPr>
        <w:spacing w:after="120" w:line="276" w:lineRule="auto"/>
        <w:rPr>
          <w:b/>
          <w:sz w:val="22"/>
          <w:szCs w:val="22"/>
        </w:rPr>
      </w:pPr>
      <w:r w:rsidRPr="008D4CEA">
        <w:rPr>
          <w:b/>
          <w:sz w:val="22"/>
          <w:szCs w:val="22"/>
        </w:rPr>
        <w:t xml:space="preserve">  NADZOR NAD PROVOĐENJEM OVE ODLUKE</w:t>
      </w:r>
    </w:p>
    <w:p w14:paraId="3A671D8C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25.</w:t>
      </w:r>
    </w:p>
    <w:p w14:paraId="20E55E9A" w14:textId="44B7AD45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  <w:r w:rsidRPr="008D4CEA">
        <w:rPr>
          <w:sz w:val="22"/>
          <w:szCs w:val="22"/>
        </w:rPr>
        <w:t xml:space="preserve">Općinski organ uprave nadležan za poslove vodoprivrede vrši upravni nadzor nad provođenjem ove </w:t>
      </w:r>
      <w:r w:rsidR="00660A4E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>dluke.</w:t>
      </w:r>
    </w:p>
    <w:p w14:paraId="1A6AEC26" w14:textId="77777777" w:rsidR="00B12EE5" w:rsidRPr="008D4CEA" w:rsidRDefault="00B12EE5" w:rsidP="00B12EE5">
      <w:pPr>
        <w:spacing w:after="120"/>
        <w:jc w:val="center"/>
        <w:rPr>
          <w:rFonts w:eastAsia="Calibri"/>
          <w:b/>
          <w:bCs/>
          <w:sz w:val="22"/>
          <w:szCs w:val="22"/>
          <w:lang w:val="hr-HR" w:eastAsia="en-US"/>
        </w:rPr>
      </w:pPr>
      <w:r w:rsidRPr="008D4CEA">
        <w:rPr>
          <w:rFonts w:eastAsia="Calibri"/>
          <w:b/>
          <w:bCs/>
          <w:sz w:val="22"/>
          <w:szCs w:val="22"/>
          <w:lang w:val="hr-HR" w:eastAsia="en-US"/>
        </w:rPr>
        <w:t>Član 26.</w:t>
      </w:r>
    </w:p>
    <w:p w14:paraId="12F23C1C" w14:textId="7A9ABC40" w:rsidR="00B12EE5" w:rsidRPr="008D4CEA" w:rsidRDefault="00B12EE5" w:rsidP="00B12EE5">
      <w:pPr>
        <w:spacing w:after="120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 xml:space="preserve">Inspekcijski nadzor nad provođenjem ove </w:t>
      </w:r>
      <w:r w:rsidR="009E4B56" w:rsidRPr="008D4CEA">
        <w:rPr>
          <w:rFonts w:eastAsia="Calibri"/>
          <w:sz w:val="22"/>
          <w:szCs w:val="22"/>
          <w:lang w:val="hr-HR" w:eastAsia="en-US"/>
        </w:rPr>
        <w:t>O</w:t>
      </w:r>
      <w:r w:rsidRPr="008D4CEA">
        <w:rPr>
          <w:rFonts w:eastAsia="Calibri"/>
          <w:sz w:val="22"/>
          <w:szCs w:val="22"/>
          <w:lang w:val="hr-HR" w:eastAsia="en-US"/>
        </w:rPr>
        <w:t xml:space="preserve">dluke odnosno nad sprovođenjem režima i mjera zaštite propisanih ovom </w:t>
      </w:r>
      <w:r w:rsidR="009E4B56" w:rsidRPr="008D4CEA">
        <w:rPr>
          <w:rFonts w:eastAsia="Calibri"/>
          <w:sz w:val="22"/>
          <w:szCs w:val="22"/>
          <w:lang w:val="hr-HR" w:eastAsia="en-US"/>
        </w:rPr>
        <w:t>O</w:t>
      </w:r>
      <w:r w:rsidRPr="008D4CEA">
        <w:rPr>
          <w:rFonts w:eastAsia="Calibri"/>
          <w:sz w:val="22"/>
          <w:szCs w:val="22"/>
          <w:lang w:val="hr-HR" w:eastAsia="en-US"/>
        </w:rPr>
        <w:t>dlukom vrše nadležni inspekcijski organi, i to:</w:t>
      </w:r>
    </w:p>
    <w:p w14:paraId="71F8AA87" w14:textId="77777777" w:rsidR="00B12EE5" w:rsidRPr="008D4CEA" w:rsidRDefault="00B12EE5" w:rsidP="00B12EE5">
      <w:pPr>
        <w:numPr>
          <w:ilvl w:val="0"/>
          <w:numId w:val="4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sanitarna inspekcija, u skladu sa nadležnostima definisanim sanitarnim propisima;</w:t>
      </w:r>
    </w:p>
    <w:p w14:paraId="6BB2EB43" w14:textId="77777777" w:rsidR="00B12EE5" w:rsidRPr="008D4CEA" w:rsidRDefault="00B12EE5" w:rsidP="00B12EE5">
      <w:pPr>
        <w:numPr>
          <w:ilvl w:val="0"/>
          <w:numId w:val="4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vodoprivredna inspekcija, u skladu sa nadležnostima utvrđenim Zakonom o vodama;</w:t>
      </w:r>
    </w:p>
    <w:p w14:paraId="49F84AAC" w14:textId="77777777" w:rsidR="00B12EE5" w:rsidRPr="008D4CEA" w:rsidRDefault="00B12EE5" w:rsidP="00B12EE5">
      <w:pPr>
        <w:numPr>
          <w:ilvl w:val="0"/>
          <w:numId w:val="4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komunalna inspekcija, u skladu sa nadležnostima u skladu sa propisima iz ove oblasti;</w:t>
      </w:r>
    </w:p>
    <w:p w14:paraId="55558086" w14:textId="77777777" w:rsidR="00B12EE5" w:rsidRPr="008D4CEA" w:rsidRDefault="00B12EE5" w:rsidP="00B12EE5">
      <w:pPr>
        <w:numPr>
          <w:ilvl w:val="0"/>
          <w:numId w:val="4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građevinska inspekcija, u skladu sa nadležnostima definisanim Zakonom o prostornom uređenju;</w:t>
      </w:r>
    </w:p>
    <w:p w14:paraId="4C307EED" w14:textId="77777777" w:rsidR="00B12EE5" w:rsidRPr="008D4CEA" w:rsidRDefault="00B12EE5" w:rsidP="00B12EE5">
      <w:pPr>
        <w:numPr>
          <w:ilvl w:val="0"/>
          <w:numId w:val="4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poljoprivredna inspekcija, u skladu sa nadležnostima definisanim Zakonom o poljoprivrednom zemljištu;</w:t>
      </w:r>
    </w:p>
    <w:p w14:paraId="7B8239AA" w14:textId="72F40759" w:rsidR="00B12EE5" w:rsidRPr="008D4CEA" w:rsidRDefault="00B12EE5" w:rsidP="00B12EE5">
      <w:pPr>
        <w:numPr>
          <w:ilvl w:val="0"/>
          <w:numId w:val="4"/>
        </w:numPr>
        <w:spacing w:after="120" w:line="276" w:lineRule="auto"/>
        <w:rPr>
          <w:rFonts w:eastAsia="Calibri"/>
          <w:sz w:val="22"/>
          <w:szCs w:val="22"/>
          <w:lang w:val="hr-HR" w:eastAsia="en-US"/>
        </w:rPr>
      </w:pPr>
      <w:r w:rsidRPr="008D4CEA">
        <w:rPr>
          <w:rFonts w:eastAsia="Calibri"/>
          <w:sz w:val="22"/>
          <w:szCs w:val="22"/>
          <w:lang w:val="hr-HR" w:eastAsia="en-US"/>
        </w:rPr>
        <w:t>šumarska inspekcija, u skladu sa nadležnostima definisanim Zakonom o šumama</w:t>
      </w:r>
      <w:r w:rsidR="008F3BA7" w:rsidRPr="008D4CEA">
        <w:rPr>
          <w:sz w:val="22"/>
          <w:szCs w:val="22"/>
          <w:lang w:val="hr-HR" w:eastAsia="en-US"/>
        </w:rPr>
        <w:t xml:space="preserve"> Bosansko-podrinjskog kantona Goražde</w:t>
      </w:r>
      <w:r w:rsidRPr="008D4CEA">
        <w:rPr>
          <w:rFonts w:eastAsia="Calibri"/>
          <w:sz w:val="22"/>
          <w:szCs w:val="22"/>
          <w:lang w:val="hr-HR" w:eastAsia="en-US"/>
        </w:rPr>
        <w:t>.</w:t>
      </w:r>
    </w:p>
    <w:p w14:paraId="4DEB1A5B" w14:textId="77777777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</w:p>
    <w:p w14:paraId="4F5EE89A" w14:textId="389A779D" w:rsidR="00B12EE5" w:rsidRPr="008D4CEA" w:rsidRDefault="00B12EE5" w:rsidP="00450559">
      <w:pPr>
        <w:pStyle w:val="ListParagraph"/>
        <w:numPr>
          <w:ilvl w:val="0"/>
          <w:numId w:val="3"/>
        </w:numPr>
        <w:spacing w:after="120" w:line="276" w:lineRule="auto"/>
        <w:rPr>
          <w:b/>
          <w:sz w:val="22"/>
          <w:szCs w:val="22"/>
        </w:rPr>
      </w:pPr>
      <w:r w:rsidRPr="008D4CEA">
        <w:rPr>
          <w:b/>
          <w:sz w:val="22"/>
          <w:szCs w:val="22"/>
        </w:rPr>
        <w:t xml:space="preserve">  KAZNENE ODREDBE</w:t>
      </w:r>
    </w:p>
    <w:p w14:paraId="070E4A18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27.</w:t>
      </w:r>
    </w:p>
    <w:p w14:paraId="4A3D2EA5" w14:textId="11767F4C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Novčanom kaznom od 5.000 do 50.000 KM kaznit će se za prekršaj pravno lice ako ne provodi </w:t>
      </w:r>
      <w:r w:rsidR="00374B41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 xml:space="preserve">dluku o zaštiti izvorišta iz člana 204. stav 1. tačka 10. Zakona o vodama </w:t>
      </w:r>
      <w:r w:rsidR="00374B41" w:rsidRPr="008D4CEA">
        <w:rPr>
          <w:sz w:val="22"/>
          <w:szCs w:val="22"/>
          <w:lang w:val="hr-HR"/>
        </w:rPr>
        <w:t xml:space="preserve">Federacije BiH </w:t>
      </w:r>
      <w:r w:rsidRPr="008D4CEA">
        <w:rPr>
          <w:sz w:val="22"/>
          <w:szCs w:val="22"/>
          <w:lang w:val="hr-HR"/>
        </w:rPr>
        <w:t>(Sl. novine FBiH, broj 70/06).</w:t>
      </w:r>
    </w:p>
    <w:p w14:paraId="28334510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  <w:lang w:val="hr-HR"/>
        </w:rPr>
      </w:pPr>
      <w:r w:rsidRPr="008D4CEA">
        <w:rPr>
          <w:b/>
          <w:bCs/>
          <w:sz w:val="22"/>
          <w:szCs w:val="22"/>
          <w:lang w:val="hr-HR"/>
        </w:rPr>
        <w:t>Član 28.</w:t>
      </w:r>
    </w:p>
    <w:p w14:paraId="51ED377A" w14:textId="14DE0241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Novčanom kaznom od 2.000 do 20.000 KM kaznit će se za prekršaj pravno lice ako se ne pridržava odredbi člana 205.  Zakona o vodama </w:t>
      </w:r>
      <w:r w:rsidR="00374B41" w:rsidRPr="008D4CEA">
        <w:rPr>
          <w:sz w:val="22"/>
          <w:szCs w:val="22"/>
          <w:lang w:val="hr-HR"/>
        </w:rPr>
        <w:t xml:space="preserve">Federacije BiH </w:t>
      </w:r>
      <w:r w:rsidRPr="008D4CEA">
        <w:rPr>
          <w:sz w:val="22"/>
          <w:szCs w:val="22"/>
          <w:lang w:val="hr-HR"/>
        </w:rPr>
        <w:t>(Sl. novine FBiH, br.70/06).</w:t>
      </w:r>
    </w:p>
    <w:p w14:paraId="10E22FBC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  <w:lang w:val="hr-HR"/>
        </w:rPr>
      </w:pPr>
      <w:r w:rsidRPr="008D4CEA">
        <w:rPr>
          <w:b/>
          <w:bCs/>
          <w:sz w:val="22"/>
          <w:szCs w:val="22"/>
          <w:lang w:val="hr-HR"/>
        </w:rPr>
        <w:t>Član 29.</w:t>
      </w:r>
    </w:p>
    <w:p w14:paraId="504E02BB" w14:textId="498DE3C2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Novčanom kaznom od 100 do 2.000 KM kaznit će se za prekršaj fizičko lice ako se ne pridržava odredbi člana 206. Zakona o vodama </w:t>
      </w:r>
      <w:r w:rsidR="00374B41" w:rsidRPr="008D4CEA">
        <w:rPr>
          <w:sz w:val="22"/>
          <w:szCs w:val="22"/>
          <w:lang w:val="hr-HR"/>
        </w:rPr>
        <w:t xml:space="preserve">Federacije BiH </w:t>
      </w:r>
      <w:r w:rsidRPr="008D4CEA">
        <w:rPr>
          <w:sz w:val="22"/>
          <w:szCs w:val="22"/>
          <w:lang w:val="hr-HR"/>
        </w:rPr>
        <w:t>(Sl. novine FBiH, br.70/06).</w:t>
      </w:r>
    </w:p>
    <w:p w14:paraId="6D0E64A7" w14:textId="77777777" w:rsidR="0098490F" w:rsidRPr="008D4CEA" w:rsidRDefault="0098490F" w:rsidP="00B12EE5">
      <w:pPr>
        <w:spacing w:after="120" w:line="276" w:lineRule="auto"/>
        <w:rPr>
          <w:sz w:val="22"/>
          <w:szCs w:val="22"/>
          <w:lang w:val="hr-HR"/>
        </w:rPr>
      </w:pPr>
    </w:p>
    <w:p w14:paraId="5C385DF1" w14:textId="4BB262A0" w:rsidR="00B12EE5" w:rsidRPr="008D4CEA" w:rsidRDefault="00B12EE5" w:rsidP="00450559">
      <w:pPr>
        <w:pStyle w:val="ListParagraph"/>
        <w:numPr>
          <w:ilvl w:val="0"/>
          <w:numId w:val="3"/>
        </w:numPr>
        <w:spacing w:after="120" w:line="276" w:lineRule="auto"/>
        <w:rPr>
          <w:b/>
          <w:sz w:val="22"/>
          <w:szCs w:val="22"/>
        </w:rPr>
      </w:pPr>
      <w:r w:rsidRPr="008D4CEA">
        <w:rPr>
          <w:b/>
          <w:sz w:val="22"/>
          <w:szCs w:val="22"/>
        </w:rPr>
        <w:t xml:space="preserve">  PRELAZNE I ZAVRŠNE ODREDBE</w:t>
      </w:r>
    </w:p>
    <w:p w14:paraId="7978C961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30.</w:t>
      </w:r>
    </w:p>
    <w:p w14:paraId="29D27E7C" w14:textId="7B0F7841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  <w:r w:rsidRPr="008D4CEA">
        <w:rPr>
          <w:sz w:val="22"/>
          <w:szCs w:val="22"/>
        </w:rPr>
        <w:t xml:space="preserve">Sastavni dio ove </w:t>
      </w:r>
      <w:r w:rsidR="00374B41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>dluke je grafički prilog na kome su prikazane granice zona sanitarne zaštite izvorišta.</w:t>
      </w:r>
    </w:p>
    <w:p w14:paraId="0B4B126C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31.</w:t>
      </w:r>
    </w:p>
    <w:p w14:paraId="5A0E75A0" w14:textId="629C42E1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Na području I, II i III zaštitne zone izvršit će se uređenje prostora i provođenje zaštitnih mjera u skladu sa ovom </w:t>
      </w:r>
      <w:r w:rsidR="00374B41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>dlukom i projektom zaštite u roku od jedne godine od dana njenog donošenja.</w:t>
      </w:r>
    </w:p>
    <w:p w14:paraId="77C36465" w14:textId="47C3B3A6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r w:rsidRPr="008D4CEA">
        <w:rPr>
          <w:sz w:val="22"/>
          <w:szCs w:val="22"/>
          <w:lang w:val="hr-HR"/>
        </w:rPr>
        <w:t xml:space="preserve">Općina Pale  i JKP «PRAČA» su dužni izvršiti radnje iz čl. 11. i 12. ove </w:t>
      </w:r>
      <w:r w:rsidR="00374B41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>dluke u roku od 180  dana od dana njenog donošenja.</w:t>
      </w:r>
    </w:p>
    <w:p w14:paraId="1DEF7EC3" w14:textId="6FE154C0" w:rsidR="00B12EE5" w:rsidRPr="008D4CEA" w:rsidRDefault="00B12EE5" w:rsidP="00B12EE5">
      <w:pPr>
        <w:spacing w:after="120" w:line="276" w:lineRule="auto"/>
        <w:rPr>
          <w:sz w:val="22"/>
          <w:szCs w:val="22"/>
          <w:lang w:val="hr-HR"/>
        </w:rPr>
      </w:pPr>
      <w:proofErr w:type="spellStart"/>
      <w:r w:rsidRPr="008D4CEA">
        <w:rPr>
          <w:sz w:val="22"/>
          <w:szCs w:val="22"/>
          <w:lang w:val="hr-HR"/>
        </w:rPr>
        <w:t>Kanalizacioni</w:t>
      </w:r>
      <w:proofErr w:type="spellEnd"/>
      <w:r w:rsidRPr="008D4CEA">
        <w:rPr>
          <w:sz w:val="22"/>
          <w:szCs w:val="22"/>
          <w:lang w:val="hr-HR"/>
        </w:rPr>
        <w:t xml:space="preserve"> sistem iz člana 19. ove </w:t>
      </w:r>
      <w:r w:rsidR="00374B41" w:rsidRPr="008D4CEA">
        <w:rPr>
          <w:sz w:val="22"/>
          <w:szCs w:val="22"/>
          <w:lang w:val="hr-HR"/>
        </w:rPr>
        <w:t>O</w:t>
      </w:r>
      <w:r w:rsidRPr="008D4CEA">
        <w:rPr>
          <w:sz w:val="22"/>
          <w:szCs w:val="22"/>
          <w:lang w:val="hr-HR"/>
        </w:rPr>
        <w:t>dluke moraju se izvesti u roku od jedne godine od dana njenog donošenja.</w:t>
      </w:r>
    </w:p>
    <w:p w14:paraId="07DED34A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32.</w:t>
      </w:r>
    </w:p>
    <w:p w14:paraId="0A5C6633" w14:textId="7A36A607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  <w:r w:rsidRPr="008D4CEA">
        <w:rPr>
          <w:sz w:val="22"/>
          <w:szCs w:val="22"/>
        </w:rPr>
        <w:t xml:space="preserve">Donosioci planskih dokumenata (vodoprivredna osnova, šumsko-privredna osnova) dužni su iste uskladiti sa odredbama ove </w:t>
      </w:r>
      <w:r w:rsidR="00374B41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 xml:space="preserve">dluke, odnosno pristupiti izradi istih u skladu sa ovom odlukom u roku od 6 mjeseci od dana donošenja ove </w:t>
      </w:r>
      <w:r w:rsidR="00EF688E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>dluke.</w:t>
      </w:r>
    </w:p>
    <w:p w14:paraId="68C2D866" w14:textId="77777777" w:rsidR="00B12EE5" w:rsidRPr="008D4CEA" w:rsidRDefault="00B12EE5" w:rsidP="00B12EE5">
      <w:pPr>
        <w:spacing w:after="120" w:line="276" w:lineRule="auto"/>
        <w:jc w:val="center"/>
        <w:rPr>
          <w:b/>
          <w:bCs/>
          <w:sz w:val="22"/>
          <w:szCs w:val="22"/>
        </w:rPr>
      </w:pPr>
      <w:r w:rsidRPr="008D4CEA">
        <w:rPr>
          <w:b/>
          <w:bCs/>
          <w:sz w:val="22"/>
          <w:szCs w:val="22"/>
        </w:rPr>
        <w:t>Član 33.</w:t>
      </w:r>
    </w:p>
    <w:p w14:paraId="15F4A430" w14:textId="4CAB836C" w:rsidR="00B12EE5" w:rsidRPr="008D4CEA" w:rsidRDefault="00B12EE5" w:rsidP="00B12EE5">
      <w:pPr>
        <w:spacing w:after="120" w:line="276" w:lineRule="auto"/>
        <w:rPr>
          <w:sz w:val="22"/>
          <w:szCs w:val="22"/>
        </w:rPr>
      </w:pPr>
      <w:r w:rsidRPr="008D4CEA">
        <w:rPr>
          <w:sz w:val="22"/>
          <w:szCs w:val="22"/>
        </w:rPr>
        <w:t xml:space="preserve">Ova </w:t>
      </w:r>
      <w:r w:rsidR="00374B41" w:rsidRPr="008D4CEA">
        <w:rPr>
          <w:sz w:val="22"/>
          <w:szCs w:val="22"/>
        </w:rPr>
        <w:t>O</w:t>
      </w:r>
      <w:r w:rsidRPr="008D4CEA">
        <w:rPr>
          <w:sz w:val="22"/>
          <w:szCs w:val="22"/>
        </w:rPr>
        <w:t>dluka stupa na snagu osmog dana od dana objavljivanja u «Službenim novinama Bosansko- podrinjskog kantona».</w:t>
      </w:r>
    </w:p>
    <w:p w14:paraId="654B84D3" w14:textId="77777777" w:rsidR="00B12EE5" w:rsidRPr="008D4CEA" w:rsidRDefault="00B12EE5" w:rsidP="00B12EE5">
      <w:pPr>
        <w:spacing w:after="120" w:line="276" w:lineRule="auto"/>
        <w:rPr>
          <w:rFonts w:eastAsia="Calibri"/>
          <w:b/>
          <w:sz w:val="22"/>
          <w:szCs w:val="22"/>
          <w:lang w:eastAsia="en-US"/>
        </w:rPr>
      </w:pPr>
    </w:p>
    <w:p w14:paraId="6775A476" w14:textId="77777777" w:rsidR="008D4CEA" w:rsidRPr="008D4CEA" w:rsidRDefault="008D4CEA" w:rsidP="008D4CEA">
      <w:pPr>
        <w:ind w:left="5954"/>
        <w:jc w:val="center"/>
        <w:rPr>
          <w:b/>
          <w:bCs/>
          <w:sz w:val="22"/>
          <w:szCs w:val="22"/>
          <w:lang w:val="hr-HR"/>
        </w:rPr>
      </w:pPr>
      <w:bookmarkStart w:id="3" w:name="_Hlk189461406"/>
      <w:bookmarkStart w:id="4" w:name="_Hlk188254543"/>
      <w:r w:rsidRPr="008D4CEA">
        <w:rPr>
          <w:b/>
          <w:bCs/>
          <w:sz w:val="22"/>
          <w:szCs w:val="22"/>
          <w:lang w:val="hr-HR"/>
        </w:rPr>
        <w:t>PREDSJEDAVAJUĆI</w:t>
      </w:r>
    </w:p>
    <w:p w14:paraId="2733239A" w14:textId="77777777" w:rsidR="008D4CEA" w:rsidRPr="008D4CEA" w:rsidRDefault="008D4CEA" w:rsidP="008D4CEA">
      <w:pPr>
        <w:ind w:left="5954"/>
        <w:jc w:val="center"/>
        <w:rPr>
          <w:sz w:val="18"/>
          <w:szCs w:val="18"/>
          <w:lang w:val="hr-HR"/>
        </w:rPr>
      </w:pPr>
    </w:p>
    <w:p w14:paraId="6FE99186" w14:textId="77777777" w:rsidR="008D4CEA" w:rsidRPr="008D4CEA" w:rsidRDefault="008D4CEA" w:rsidP="008D4CEA">
      <w:pPr>
        <w:ind w:left="5812"/>
        <w:jc w:val="center"/>
        <w:rPr>
          <w:sz w:val="22"/>
          <w:szCs w:val="22"/>
          <w:lang w:val="hr-HR"/>
        </w:rPr>
      </w:pPr>
      <w:bookmarkStart w:id="5" w:name="_Hlk133220691"/>
      <w:r w:rsidRPr="008D4CEA">
        <w:rPr>
          <w:sz w:val="22"/>
          <w:szCs w:val="22"/>
          <w:lang w:val="hr-HR"/>
        </w:rPr>
        <w:t>Mr.sc. Senad Mutapčić, dipl. ing. maš.</w:t>
      </w:r>
    </w:p>
    <w:p w14:paraId="6E80C5ED" w14:textId="77777777" w:rsidR="008D4CEA" w:rsidRPr="008D4CEA" w:rsidRDefault="008D4CEA" w:rsidP="008D4CEA">
      <w:pPr>
        <w:ind w:right="4649"/>
        <w:rPr>
          <w:sz w:val="22"/>
          <w:szCs w:val="22"/>
          <w:lang w:val="hr-HR"/>
        </w:rPr>
      </w:pPr>
      <w:bookmarkStart w:id="6" w:name="_Hlk112660047"/>
      <w:bookmarkEnd w:id="3"/>
      <w:bookmarkEnd w:id="5"/>
      <w:r w:rsidRPr="008D4CEA">
        <w:rPr>
          <w:b/>
          <w:bCs/>
          <w:sz w:val="22"/>
          <w:szCs w:val="22"/>
          <w:lang w:val="hr-HR"/>
        </w:rPr>
        <w:t>Dostavljeno</w:t>
      </w:r>
      <w:r w:rsidRPr="008D4CEA">
        <w:rPr>
          <w:sz w:val="22"/>
          <w:szCs w:val="22"/>
          <w:lang w:val="hr-HR"/>
        </w:rPr>
        <w:t>:</w:t>
      </w:r>
    </w:p>
    <w:bookmarkStart w:id="7" w:name="_Hlk78979055" w:displacedByCustomXml="next"/>
    <w:sdt>
      <w:sdtPr>
        <w:rPr>
          <w:sz w:val="22"/>
          <w:szCs w:val="22"/>
          <w:lang w:val="hr-HR"/>
        </w:rPr>
        <w:id w:val="394629628"/>
        <w:placeholder>
          <w:docPart w:val="76F8EE5BD1DD457E9080EDA52708309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D3605DD" w14:textId="6A31C514" w:rsidR="008D4CEA" w:rsidRPr="008D4CEA" w:rsidRDefault="00441B1B" w:rsidP="008D4CEA">
          <w:pPr>
            <w:pStyle w:val="ListParagraph"/>
            <w:numPr>
              <w:ilvl w:val="0"/>
              <w:numId w:val="9"/>
            </w:numPr>
            <w:ind w:right="4649"/>
            <w:jc w:val="left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Službene novine BPK-a Goražde,</w:t>
          </w:r>
        </w:p>
      </w:sdtContent>
    </w:sdt>
    <w:sdt>
      <w:sdtPr>
        <w:rPr>
          <w:sz w:val="22"/>
          <w:szCs w:val="22"/>
          <w:lang w:val="hr-HR"/>
        </w:rPr>
        <w:id w:val="-1045820317"/>
        <w:placeholder>
          <w:docPart w:val="BF69C630789F409B8E8C3446A2D7D888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7C8BD75B" w14:textId="77777777" w:rsidR="008D4CEA" w:rsidRPr="008D4CEA" w:rsidRDefault="008D4CEA" w:rsidP="008D4CEA">
          <w:pPr>
            <w:pStyle w:val="ListParagraph"/>
            <w:numPr>
              <w:ilvl w:val="0"/>
              <w:numId w:val="9"/>
            </w:numPr>
            <w:ind w:right="4649"/>
            <w:jc w:val="left"/>
            <w:rPr>
              <w:sz w:val="22"/>
              <w:szCs w:val="22"/>
              <w:lang w:val="hr-HR"/>
            </w:rPr>
          </w:pPr>
          <w:r w:rsidRPr="008D4CEA">
            <w:rPr>
              <w:sz w:val="22"/>
              <w:szCs w:val="22"/>
              <w:lang w:val="hr-HR"/>
            </w:rPr>
            <w:t>Općinski načelnik,</w:t>
          </w:r>
        </w:p>
      </w:sdtContent>
    </w:sdt>
    <w:bookmarkEnd w:id="7" w:displacedByCustomXml="prev"/>
    <w:bookmarkEnd w:id="4" w:displacedByCustomXml="next"/>
    <w:sdt>
      <w:sdtPr>
        <w:rPr>
          <w:sz w:val="22"/>
          <w:szCs w:val="22"/>
          <w:lang w:val="hr-HR"/>
        </w:rPr>
        <w:id w:val="1436329071"/>
        <w:placeholder>
          <w:docPart w:val="7160D83585DD4FAA9AC2B62D613FA78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BBF39EF" w14:textId="1D55437C" w:rsidR="008D4CEA" w:rsidRPr="008D4CEA" w:rsidRDefault="00441B1B" w:rsidP="008D4CEA">
          <w:pPr>
            <w:pStyle w:val="ListParagraph"/>
            <w:numPr>
              <w:ilvl w:val="0"/>
              <w:numId w:val="9"/>
            </w:numPr>
            <w:ind w:right="4649"/>
            <w:jc w:val="left"/>
            <w:rPr>
              <w:sz w:val="22"/>
              <w:szCs w:val="22"/>
              <w:lang w:val="hr-HR"/>
            </w:rPr>
          </w:pPr>
          <w:r>
            <w:rPr>
              <w:sz w:val="22"/>
              <w:szCs w:val="22"/>
              <w:lang w:val="hr-HR"/>
            </w:rPr>
            <w:t>Općinska služba za geodetske, imovinsko-pravne poslove, katastar nekretnina, prostorno uređenje i komunalnu djelatnost,</w:t>
          </w:r>
        </w:p>
      </w:sdtContent>
    </w:sdt>
    <w:sdt>
      <w:sdtPr>
        <w:rPr>
          <w:sz w:val="22"/>
          <w:szCs w:val="22"/>
          <w:lang w:val="hr-HR"/>
        </w:rPr>
        <w:id w:val="1352540929"/>
        <w:placeholder>
          <w:docPart w:val="F27D30E4964445598BE47335D0F9C184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FEA49B8" w14:textId="77777777" w:rsidR="008D4CEA" w:rsidRPr="008D4CEA" w:rsidRDefault="008D4CEA" w:rsidP="008D4CEA">
          <w:pPr>
            <w:pStyle w:val="ListParagraph"/>
            <w:numPr>
              <w:ilvl w:val="0"/>
              <w:numId w:val="9"/>
            </w:numPr>
            <w:ind w:right="4649"/>
            <w:jc w:val="left"/>
            <w:rPr>
              <w:sz w:val="22"/>
              <w:szCs w:val="22"/>
              <w:lang w:val="hr-HR"/>
            </w:rPr>
          </w:pPr>
          <w:r w:rsidRPr="008D4CEA">
            <w:rPr>
              <w:sz w:val="22"/>
              <w:szCs w:val="22"/>
              <w:lang w:val="hr-HR"/>
            </w:rPr>
            <w:t>U a/a.</w:t>
          </w:r>
        </w:p>
      </w:sdtContent>
    </w:sdt>
    <w:bookmarkEnd w:id="6" w:displacedByCustomXml="prev"/>
    <w:p w14:paraId="5DBA8928" w14:textId="61673214" w:rsidR="004D68E0" w:rsidRPr="008D4CEA" w:rsidRDefault="00441B1B" w:rsidP="00B12EE5">
      <w:pPr>
        <w:rPr>
          <w:sz w:val="22"/>
          <w:szCs w:val="22"/>
        </w:rPr>
      </w:pPr>
    </w:p>
    <w:sectPr w:rsidR="004D68E0" w:rsidRPr="008D4CEA" w:rsidSect="008D4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6CA"/>
    <w:multiLevelType w:val="hybridMultilevel"/>
    <w:tmpl w:val="5914BD72"/>
    <w:lvl w:ilvl="0" w:tplc="6F604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6E154C"/>
    <w:multiLevelType w:val="multilevel"/>
    <w:tmpl w:val="3D5C4D4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290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C73B4D"/>
    <w:multiLevelType w:val="hybridMultilevel"/>
    <w:tmpl w:val="66CAEC9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09F3EA9"/>
    <w:multiLevelType w:val="hybridMultilevel"/>
    <w:tmpl w:val="B2C4AE98"/>
    <w:lvl w:ilvl="0" w:tplc="6F604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08473D"/>
    <w:multiLevelType w:val="hybridMultilevel"/>
    <w:tmpl w:val="6862016A"/>
    <w:lvl w:ilvl="0" w:tplc="BE3E0BB6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24D682D"/>
    <w:multiLevelType w:val="hybridMultilevel"/>
    <w:tmpl w:val="99561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01FE2"/>
    <w:multiLevelType w:val="hybridMultilevel"/>
    <w:tmpl w:val="D0CC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87CD6"/>
    <w:multiLevelType w:val="hybridMultilevel"/>
    <w:tmpl w:val="7F684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E5"/>
    <w:rsid w:val="000B6C3A"/>
    <w:rsid w:val="00170483"/>
    <w:rsid w:val="001F3A11"/>
    <w:rsid w:val="00210F0B"/>
    <w:rsid w:val="002A46CA"/>
    <w:rsid w:val="002D26E2"/>
    <w:rsid w:val="00374B41"/>
    <w:rsid w:val="00441B1B"/>
    <w:rsid w:val="00450559"/>
    <w:rsid w:val="00452E69"/>
    <w:rsid w:val="00481F82"/>
    <w:rsid w:val="00573E08"/>
    <w:rsid w:val="005C52F0"/>
    <w:rsid w:val="00660A4E"/>
    <w:rsid w:val="006745DF"/>
    <w:rsid w:val="006E75E7"/>
    <w:rsid w:val="008744CA"/>
    <w:rsid w:val="00880735"/>
    <w:rsid w:val="008D4CEA"/>
    <w:rsid w:val="008F3BA7"/>
    <w:rsid w:val="00915CF2"/>
    <w:rsid w:val="009559E5"/>
    <w:rsid w:val="0098490F"/>
    <w:rsid w:val="009958EA"/>
    <w:rsid w:val="009E4B56"/>
    <w:rsid w:val="009F03C9"/>
    <w:rsid w:val="00A2300E"/>
    <w:rsid w:val="00A50E6A"/>
    <w:rsid w:val="00B12B23"/>
    <w:rsid w:val="00B12EE5"/>
    <w:rsid w:val="00B41411"/>
    <w:rsid w:val="00BA21CE"/>
    <w:rsid w:val="00C347DF"/>
    <w:rsid w:val="00CC4977"/>
    <w:rsid w:val="00E81EE7"/>
    <w:rsid w:val="00EF688E"/>
    <w:rsid w:val="00F20B51"/>
    <w:rsid w:val="00F22853"/>
    <w:rsid w:val="00F83139"/>
    <w:rsid w:val="00F87538"/>
    <w:rsid w:val="00FA2CA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FD43"/>
  <w15:chartTrackingRefBased/>
  <w15:docId w15:val="{439E6D12-28BF-4145-BF2D-6BD7981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E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s-Latn-BA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EE5"/>
    <w:pPr>
      <w:keepNext/>
      <w:numPr>
        <w:numId w:val="1"/>
      </w:numPr>
      <w:outlineLvl w:val="0"/>
    </w:pPr>
    <w:rPr>
      <w:b/>
      <w:sz w:val="28"/>
      <w:szCs w:val="20"/>
      <w:lang w:val="hr-HR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EE5"/>
    <w:pPr>
      <w:keepNext/>
      <w:numPr>
        <w:ilvl w:val="1"/>
        <w:numId w:val="1"/>
      </w:numPr>
      <w:spacing w:line="360" w:lineRule="auto"/>
      <w:outlineLvl w:val="1"/>
    </w:pPr>
    <w:rPr>
      <w:b/>
      <w:sz w:val="26"/>
      <w:szCs w:val="20"/>
      <w:lang w:val="hr-HR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B12EE5"/>
    <w:pPr>
      <w:keepNext/>
      <w:numPr>
        <w:ilvl w:val="2"/>
        <w:numId w:val="1"/>
      </w:numPr>
      <w:spacing w:after="120" w:line="360" w:lineRule="auto"/>
      <w:outlineLvl w:val="2"/>
    </w:pPr>
    <w:rPr>
      <w:b/>
      <w:szCs w:val="20"/>
      <w:lang w:val="hr-HR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12EE5"/>
    <w:pPr>
      <w:keepNext/>
      <w:numPr>
        <w:ilvl w:val="3"/>
        <w:numId w:val="1"/>
      </w:numPr>
      <w:spacing w:after="240"/>
      <w:jc w:val="left"/>
      <w:outlineLvl w:val="3"/>
    </w:pPr>
    <w:rPr>
      <w:b/>
      <w:i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12EE5"/>
    <w:pPr>
      <w:keepNext/>
      <w:numPr>
        <w:ilvl w:val="4"/>
        <w:numId w:val="1"/>
      </w:numPr>
      <w:jc w:val="center"/>
      <w:outlineLvl w:val="4"/>
    </w:pPr>
    <w:rPr>
      <w:szCs w:val="20"/>
      <w:u w:val="single"/>
      <w:lang w:val="x-none"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B12EE5"/>
    <w:pPr>
      <w:keepNext/>
      <w:numPr>
        <w:ilvl w:val="5"/>
        <w:numId w:val="1"/>
      </w:numPr>
      <w:outlineLvl w:val="5"/>
    </w:pPr>
    <w:rPr>
      <w:szCs w:val="20"/>
      <w:u w:val="single"/>
      <w:lang w:val="hr-HR"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B12EE5"/>
    <w:pPr>
      <w:keepNext/>
      <w:numPr>
        <w:ilvl w:val="6"/>
        <w:numId w:val="1"/>
      </w:numPr>
      <w:outlineLvl w:val="6"/>
    </w:pPr>
    <w:rPr>
      <w:sz w:val="20"/>
      <w:szCs w:val="20"/>
      <w:u w:val="single"/>
      <w:lang w:val="hr-HR"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B12EE5"/>
    <w:pPr>
      <w:keepNext/>
      <w:numPr>
        <w:ilvl w:val="7"/>
        <w:numId w:val="1"/>
      </w:numPr>
      <w:outlineLvl w:val="7"/>
    </w:pPr>
    <w:rPr>
      <w:szCs w:val="20"/>
      <w:u w:val="single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B12EE5"/>
    <w:pPr>
      <w:keepNext/>
      <w:numPr>
        <w:ilvl w:val="8"/>
        <w:numId w:val="1"/>
      </w:numPr>
      <w:outlineLvl w:val="8"/>
    </w:pPr>
    <w:rPr>
      <w:i/>
      <w:szCs w:val="20"/>
      <w:lang w:val="hr-H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EE5"/>
    <w:rPr>
      <w:rFonts w:ascii="Times New Roman" w:eastAsia="Times New Roman" w:hAnsi="Times New Roman" w:cs="Times New Roman"/>
      <w:b/>
      <w:sz w:val="28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B12EE5"/>
    <w:rPr>
      <w:rFonts w:ascii="Times New Roman" w:eastAsia="Times New Roman" w:hAnsi="Times New Roman" w:cs="Times New Roman"/>
      <w:b/>
      <w:sz w:val="26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B12EE5"/>
    <w:rPr>
      <w:rFonts w:ascii="Times New Roman" w:eastAsia="Times New Roman" w:hAnsi="Times New Roman" w:cs="Times New Roman"/>
      <w:b/>
      <w:sz w:val="24"/>
      <w:szCs w:val="20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B12EE5"/>
    <w:rPr>
      <w:rFonts w:ascii="Times New Roman" w:eastAsia="Times New Roman" w:hAnsi="Times New Roman" w:cs="Times New Roman"/>
      <w:b/>
      <w:i/>
      <w:szCs w:val="20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rsid w:val="00B12EE5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Heading6Char">
    <w:name w:val="Heading 6 Char"/>
    <w:basedOn w:val="DefaultParagraphFont"/>
    <w:link w:val="Heading6"/>
    <w:uiPriority w:val="9"/>
    <w:rsid w:val="00B12EE5"/>
    <w:rPr>
      <w:rFonts w:ascii="Times New Roman" w:eastAsia="Times New Roman" w:hAnsi="Times New Roman" w:cs="Times New Roman"/>
      <w:sz w:val="24"/>
      <w:szCs w:val="20"/>
      <w:u w:val="single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rsid w:val="00B12EE5"/>
    <w:rPr>
      <w:rFonts w:ascii="Times New Roman" w:eastAsia="Times New Roman" w:hAnsi="Times New Roman" w:cs="Times New Roman"/>
      <w:sz w:val="20"/>
      <w:szCs w:val="20"/>
      <w:u w:val="single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rsid w:val="00B12EE5"/>
    <w:rPr>
      <w:rFonts w:ascii="Times New Roman" w:eastAsia="Times New Roman" w:hAnsi="Times New Roman" w:cs="Times New Roman"/>
      <w:sz w:val="24"/>
      <w:szCs w:val="20"/>
      <w:u w:val="single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rsid w:val="00B12EE5"/>
    <w:rPr>
      <w:rFonts w:ascii="Times New Roman" w:eastAsia="Times New Roman" w:hAnsi="Times New Roman" w:cs="Times New Roman"/>
      <w:i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2A46CA"/>
    <w:pPr>
      <w:ind w:left="720"/>
      <w:contextualSpacing/>
    </w:pPr>
  </w:style>
  <w:style w:type="table" w:styleId="PlainTable3">
    <w:name w:val="Plain Table 3"/>
    <w:basedOn w:val="TableNormal"/>
    <w:uiPriority w:val="43"/>
    <w:rsid w:val="008D4CE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D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F8EE5BD1DD457E9080EDA527083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B5D7-1094-4E1E-A95B-0663C56AD11E}"/>
      </w:docPartPr>
      <w:docPartBody>
        <w:p w:rsidR="00B3323E" w:rsidRDefault="007660B1" w:rsidP="007660B1">
          <w:pPr>
            <w:pStyle w:val="76F8EE5BD1DD457E9080EDA52708309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F69C630789F409B8E8C3446A2D7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AD4F-14AC-4F17-891A-DEE0350C5F44}"/>
      </w:docPartPr>
      <w:docPartBody>
        <w:p w:rsidR="00B3323E" w:rsidRDefault="007660B1" w:rsidP="007660B1">
          <w:pPr>
            <w:pStyle w:val="BF69C630789F409B8E8C3446A2D7D888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7160D83585DD4FAA9AC2B62D613FA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A2A1F-FC1F-44CE-852B-C96E59A3B221}"/>
      </w:docPartPr>
      <w:docPartBody>
        <w:p w:rsidR="00B3323E" w:rsidRDefault="007660B1" w:rsidP="007660B1">
          <w:pPr>
            <w:pStyle w:val="7160D83585DD4FAA9AC2B62D613FA78D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F27D30E4964445598BE47335D0F9C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A4969-63F5-4863-8816-5460BD5D001E}"/>
      </w:docPartPr>
      <w:docPartBody>
        <w:p w:rsidR="00B3323E" w:rsidRDefault="007660B1" w:rsidP="007660B1">
          <w:pPr>
            <w:pStyle w:val="F27D30E4964445598BE47335D0F9C184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B1"/>
    <w:rsid w:val="00380536"/>
    <w:rsid w:val="007660B1"/>
    <w:rsid w:val="00B3323E"/>
    <w:rsid w:val="00B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23E"/>
  </w:style>
  <w:style w:type="paragraph" w:customStyle="1" w:styleId="38ECC42267754EC08F46EBFE3ECE1C86">
    <w:name w:val="38ECC42267754EC08F46EBFE3ECE1C86"/>
    <w:rsid w:val="007660B1"/>
  </w:style>
  <w:style w:type="paragraph" w:customStyle="1" w:styleId="76F8EE5BD1DD457E9080EDA52708309E">
    <w:name w:val="76F8EE5BD1DD457E9080EDA52708309E"/>
    <w:rsid w:val="007660B1"/>
  </w:style>
  <w:style w:type="paragraph" w:customStyle="1" w:styleId="BF69C630789F409B8E8C3446A2D7D888">
    <w:name w:val="BF69C630789F409B8E8C3446A2D7D888"/>
    <w:rsid w:val="007660B1"/>
  </w:style>
  <w:style w:type="paragraph" w:customStyle="1" w:styleId="76A779F1FDE141FD8D78F893262F2674">
    <w:name w:val="76A779F1FDE141FD8D78F893262F2674"/>
    <w:rsid w:val="007660B1"/>
  </w:style>
  <w:style w:type="paragraph" w:customStyle="1" w:styleId="7160D83585DD4FAA9AC2B62D613FA78D">
    <w:name w:val="7160D83585DD4FAA9AC2B62D613FA78D"/>
    <w:rsid w:val="007660B1"/>
  </w:style>
  <w:style w:type="paragraph" w:customStyle="1" w:styleId="2191207BB09A4D88893DC8D7906CD9D1">
    <w:name w:val="2191207BB09A4D88893DC8D7906CD9D1"/>
    <w:rsid w:val="007660B1"/>
  </w:style>
  <w:style w:type="paragraph" w:customStyle="1" w:styleId="F27D30E4964445598BE47335D0F9C184">
    <w:name w:val="F27D30E4964445598BE47335D0F9C184"/>
    <w:rsid w:val="007660B1"/>
  </w:style>
  <w:style w:type="paragraph" w:customStyle="1" w:styleId="B1DBDB4C5E80442FA4A8BCC2D7382C49">
    <w:name w:val="B1DBDB4C5E80442FA4A8BCC2D7382C49"/>
    <w:rsid w:val="00B3323E"/>
  </w:style>
  <w:style w:type="paragraph" w:customStyle="1" w:styleId="B1020B5CCFC54B46A2AF4318CDAEC3C8">
    <w:name w:val="B1020B5CCFC54B46A2AF4318CDAEC3C8"/>
    <w:rsid w:val="00B33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Senad Mutapcic</cp:lastModifiedBy>
  <cp:revision>36</cp:revision>
  <cp:lastPrinted>2025-04-09T07:02:00Z</cp:lastPrinted>
  <dcterms:created xsi:type="dcterms:W3CDTF">2025-02-07T09:05:00Z</dcterms:created>
  <dcterms:modified xsi:type="dcterms:W3CDTF">2025-04-09T07:02:00Z</dcterms:modified>
</cp:coreProperties>
</file>